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ED98" w14:textId="7AB4412D" w:rsidR="009362F0" w:rsidRDefault="009362F0" w:rsidP="0037120A">
      <w:pPr>
        <w:ind w:left="-720"/>
        <w:rPr>
          <w:rFonts w:ascii="Arial" w:hAnsi="Arial" w:cs="Arial"/>
        </w:rPr>
      </w:pPr>
      <w:r>
        <w:rPr>
          <w:noProof/>
          <w:lang w:val="en"/>
        </w:rPr>
        <w:drawing>
          <wp:anchor distT="0" distB="0" distL="114300" distR="114300" simplePos="0" relativeHeight="251659264" behindDoc="0" locked="0" layoutInCell="1" allowOverlap="1" wp14:anchorId="77A18DDC" wp14:editId="0BCC2C8F">
            <wp:simplePos x="0" y="0"/>
            <wp:positionH relativeFrom="column">
              <wp:posOffset>8255</wp:posOffset>
            </wp:positionH>
            <wp:positionV relativeFrom="paragraph">
              <wp:posOffset>-46990</wp:posOffset>
            </wp:positionV>
            <wp:extent cx="1809115" cy="501015"/>
            <wp:effectExtent l="0" t="0" r="635" b="0"/>
            <wp:wrapNone/>
            <wp:docPr id="1" name="Image 1" descr="RBST_couleur_cmykMo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BST_couleur_cmykMoy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115"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8920C" w14:textId="77777777" w:rsidR="009362F0" w:rsidRDefault="009362F0" w:rsidP="0037120A">
      <w:pPr>
        <w:ind w:left="-720"/>
        <w:rPr>
          <w:rFonts w:ascii="Arial" w:hAnsi="Arial" w:cs="Arial"/>
        </w:rPr>
      </w:pPr>
    </w:p>
    <w:p w14:paraId="27F7A82F" w14:textId="77777777" w:rsidR="009362F0" w:rsidRDefault="009362F0" w:rsidP="0037120A">
      <w:pPr>
        <w:ind w:left="-720"/>
        <w:rPr>
          <w:rFonts w:ascii="Arial" w:hAnsi="Arial" w:cs="Arial"/>
        </w:rPr>
      </w:pPr>
    </w:p>
    <w:p w14:paraId="1D391E1C" w14:textId="04D2F388" w:rsidR="00894D7B" w:rsidRDefault="009362F0" w:rsidP="00894D7B">
      <w:pPr>
        <w:ind w:left="-720"/>
        <w:rPr>
          <w:rFonts w:ascii="Arial" w:hAnsi="Arial" w:cs="Arial"/>
        </w:rPr>
      </w:pPr>
      <w:r>
        <w:rPr>
          <w:rFonts w:ascii="Arial" w:hAnsi="Arial" w:cs="Arial"/>
        </w:rPr>
        <w:tab/>
      </w:r>
      <w:r>
        <w:rPr>
          <w:rFonts w:ascii="Arial" w:hAnsi="Arial" w:cs="Arial"/>
        </w:rPr>
        <w:tab/>
      </w:r>
      <w:r>
        <w:rPr>
          <w:rFonts w:ascii="Arial" w:hAnsi="Arial" w:cs="Arial"/>
        </w:rPr>
        <w:tab/>
      </w:r>
    </w:p>
    <w:p w14:paraId="4F5C10B3" w14:textId="19F987F5" w:rsidR="00894D7B" w:rsidRDefault="00894D7B" w:rsidP="00894D7B">
      <w:pPr>
        <w:rPr>
          <w:lang w:val="en" w:eastAsia="en-US"/>
        </w:rPr>
      </w:pPr>
    </w:p>
    <w:p w14:paraId="14E18F2F" w14:textId="33E3AF23" w:rsidR="00894D7B" w:rsidRDefault="00894D7B" w:rsidP="00894D7B">
      <w:pPr>
        <w:rPr>
          <w:lang w:val="en" w:eastAsia="en-US"/>
        </w:rPr>
      </w:pPr>
      <w:r w:rsidRPr="00894D7B">
        <w:rPr>
          <w:highlight w:val="yellow"/>
          <w:lang w:val="en" w:eastAsia="en-US"/>
        </w:rPr>
        <w:t>**Please note that this is a product of the Google Translate function from the original French version to assist understanding for English speakers, but should not be taken as a professional translation, nor a translation undertaken by INSPQ.</w:t>
      </w:r>
      <w:r>
        <w:rPr>
          <w:lang w:val="en" w:eastAsia="en-US"/>
        </w:rPr>
        <w:t xml:space="preserve">   </w:t>
      </w:r>
    </w:p>
    <w:p w14:paraId="40C29B72" w14:textId="77777777" w:rsidR="00894D7B" w:rsidRPr="00894D7B" w:rsidRDefault="00894D7B" w:rsidP="00894D7B">
      <w:pPr>
        <w:rPr>
          <w:lang w:val="en" w:eastAsia="en-US"/>
        </w:rPr>
      </w:pPr>
    </w:p>
    <w:p w14:paraId="053AF0D5" w14:textId="482AFAC8" w:rsidR="00894D7B" w:rsidRDefault="00894D7B" w:rsidP="00894D7B">
      <w:pPr>
        <w:pStyle w:val="Heading1"/>
        <w:spacing w:after="0"/>
        <w:ind w:left="0" w:firstLine="0"/>
        <w:jc w:val="center"/>
        <w:rPr>
          <w:lang w:val="en"/>
        </w:rPr>
      </w:pPr>
      <w:r>
        <w:tab/>
      </w:r>
      <w:r>
        <w:rPr>
          <w:lang w:val="en"/>
        </w:rPr>
        <w:t>Notice</w:t>
      </w:r>
    </w:p>
    <w:p w14:paraId="1B3FFB56" w14:textId="24D641AD" w:rsidR="009362F0" w:rsidRDefault="009362F0" w:rsidP="0037120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836"/>
        <w:gridCol w:w="8281"/>
      </w:tblGrid>
      <w:tr w:rsidR="009362F0" w:rsidRPr="0037120A" w14:paraId="61A198FA" w14:textId="77777777" w:rsidTr="00CB649B">
        <w:tc>
          <w:tcPr>
            <w:tcW w:w="2410" w:type="dxa"/>
            <w:gridSpan w:val="2"/>
            <w:shd w:val="clear" w:color="auto" w:fill="FFFFFF"/>
          </w:tcPr>
          <w:p w14:paraId="0099D71B" w14:textId="77777777" w:rsidR="009362F0" w:rsidRPr="0037120A" w:rsidRDefault="009362F0" w:rsidP="0037120A">
            <w:pPr>
              <w:rPr>
                <w:rFonts w:ascii="Calibri" w:hAnsi="Calibri"/>
                <w:sz w:val="22"/>
                <w:szCs w:val="22"/>
              </w:rPr>
            </w:pPr>
            <w:r w:rsidRPr="0037120A">
              <w:rPr>
                <w:b/>
                <w:sz w:val="22"/>
                <w:szCs w:val="22"/>
                <w:lang w:val="en"/>
              </w:rPr>
              <w:t>Date :</w:t>
            </w:r>
            <w:r w:rsidRPr="0037120A">
              <w:rPr>
                <w:sz w:val="22"/>
                <w:szCs w:val="22"/>
                <w:lang w:val="en"/>
              </w:rPr>
              <w:t xml:space="preserve"> 2020-04-08</w:t>
            </w:r>
          </w:p>
        </w:tc>
        <w:tc>
          <w:tcPr>
            <w:tcW w:w="8427" w:type="dxa"/>
            <w:shd w:val="clear" w:color="auto" w:fill="FFFFFF"/>
          </w:tcPr>
          <w:p w14:paraId="28DDD784" w14:textId="77777777" w:rsidR="009362F0" w:rsidRPr="0037120A" w:rsidRDefault="009362F0" w:rsidP="0037120A">
            <w:pPr>
              <w:rPr>
                <w:rFonts w:ascii="Calibri" w:hAnsi="Calibri"/>
                <w:b/>
                <w:sz w:val="22"/>
                <w:szCs w:val="22"/>
              </w:rPr>
            </w:pPr>
            <w:r w:rsidRPr="0037120A">
              <w:rPr>
                <w:b/>
                <w:sz w:val="22"/>
                <w:szCs w:val="22"/>
                <w:lang w:val="en"/>
              </w:rPr>
              <w:t>Topic: community gardens, collectives, etc.</w:t>
            </w:r>
          </w:p>
        </w:tc>
      </w:tr>
      <w:tr w:rsidR="009362F0" w:rsidRPr="0037120A" w14:paraId="52E82BA2" w14:textId="77777777" w:rsidTr="00CB649B">
        <w:tc>
          <w:tcPr>
            <w:tcW w:w="10837" w:type="dxa"/>
            <w:gridSpan w:val="3"/>
            <w:shd w:val="clear" w:color="auto" w:fill="1C819A"/>
          </w:tcPr>
          <w:p w14:paraId="0F7692BE" w14:textId="77777777" w:rsidR="009362F0" w:rsidRPr="0037120A" w:rsidRDefault="009362F0" w:rsidP="0037120A">
            <w:pPr>
              <w:jc w:val="center"/>
              <w:rPr>
                <w:rFonts w:ascii="Calibri" w:hAnsi="Calibri"/>
                <w:b/>
                <w:color w:val="FFFFFF"/>
                <w:sz w:val="22"/>
                <w:szCs w:val="22"/>
              </w:rPr>
            </w:pPr>
            <w:r w:rsidRPr="0037120A">
              <w:rPr>
                <w:b/>
                <w:color w:val="FFFFFF"/>
                <w:sz w:val="22"/>
                <w:szCs w:val="22"/>
                <w:lang w:val="en"/>
              </w:rPr>
              <w:t>QUESTION</w:t>
            </w:r>
          </w:p>
        </w:tc>
      </w:tr>
      <w:tr w:rsidR="009362F0" w:rsidRPr="0037120A" w14:paraId="0A8D4418" w14:textId="77777777" w:rsidTr="00CB649B">
        <w:tc>
          <w:tcPr>
            <w:tcW w:w="10837" w:type="dxa"/>
            <w:gridSpan w:val="3"/>
            <w:shd w:val="clear" w:color="auto" w:fill="auto"/>
          </w:tcPr>
          <w:p w14:paraId="2FDED0ED" w14:textId="77777777" w:rsidR="009362F0" w:rsidRPr="0037120A" w:rsidRDefault="009362F0" w:rsidP="0037120A">
            <w:pPr>
              <w:pStyle w:val="xmsonormal"/>
              <w:jc w:val="both"/>
              <w:rPr>
                <w:rFonts w:asciiTheme="minorHAnsi" w:hAnsiTheme="minorHAnsi" w:cs="Arial"/>
                <w:sz w:val="22"/>
                <w:szCs w:val="22"/>
              </w:rPr>
            </w:pPr>
            <w:r w:rsidRPr="0037120A">
              <w:rPr>
                <w:sz w:val="22"/>
                <w:szCs w:val="22"/>
                <w:lang w:val="en"/>
              </w:rPr>
              <w:t xml:space="preserve">As part of the research </w:t>
            </w:r>
            <w:r w:rsidRPr="0037120A">
              <w:rPr>
                <w:i/>
                <w:iCs/>
                <w:sz w:val="22"/>
                <w:szCs w:val="22"/>
                <w:lang w:val="en"/>
              </w:rPr>
              <w:t>Evaluation of Urban Agriculture as a green infrastructure of individual and collective resilience to climate and social change,</w:t>
            </w:r>
            <w:r>
              <w:rPr>
                <w:lang w:val="en"/>
              </w:rPr>
              <w:t xml:space="preserve"> </w:t>
            </w:r>
            <w:r w:rsidRPr="0037120A">
              <w:rPr>
                <w:sz w:val="22"/>
                <w:szCs w:val="22"/>
                <w:lang w:val="en"/>
              </w:rPr>
              <w:t xml:space="preserve"> which we have been conducting with many partners since 2017, we have been asked to update the food importance of urban agriculture initiatives</w:t>
            </w:r>
            <w:hyperlink r:id="rId6" w:history="1">
              <w:r w:rsidRPr="0037120A">
                <w:rPr>
                  <w:rStyle w:val="Hyperlink"/>
                  <w:sz w:val="22"/>
                  <w:szCs w:val="22"/>
                  <w:lang w:val="en"/>
                </w:rPr>
                <w:t>(https://agriurbain.hypotheses.org/4739).</w:t>
              </w:r>
            </w:hyperlink>
            <w:r w:rsidRPr="0037120A">
              <w:rPr>
                <w:sz w:val="22"/>
                <w:szCs w:val="22"/>
                <w:lang w:val="en"/>
              </w:rPr>
              <w:t>). </w:t>
            </w:r>
          </w:p>
          <w:p w14:paraId="1201DD3B" w14:textId="77777777" w:rsidR="009362F0" w:rsidRPr="0037120A" w:rsidRDefault="009362F0" w:rsidP="0037120A">
            <w:pPr>
              <w:pStyle w:val="xmsonormal"/>
              <w:jc w:val="both"/>
              <w:rPr>
                <w:rFonts w:asciiTheme="minorHAnsi" w:hAnsiTheme="minorHAnsi" w:cs="Arial"/>
                <w:sz w:val="22"/>
                <w:szCs w:val="22"/>
              </w:rPr>
            </w:pPr>
            <w:r w:rsidRPr="0037120A">
              <w:rPr>
                <w:sz w:val="22"/>
                <w:szCs w:val="22"/>
                <w:lang w:val="en"/>
              </w:rPr>
              <w:t>Currently (in COVID19 situation) many partners in this research and other partners of the Laboratory on Urban Agriculture are trying to see how it would be possible for them to open the community gardens on 1 May. These are an agricultural activity and a significant food source for many families. May 1 is the date of the first direct plantings, while the larger production begins the 2nd or 3rd week of May.</w:t>
            </w:r>
          </w:p>
          <w:p w14:paraId="6C90DEB2" w14:textId="77777777" w:rsidR="009362F0" w:rsidRPr="0037120A" w:rsidRDefault="009362F0" w:rsidP="0037120A">
            <w:pPr>
              <w:pStyle w:val="xmsonormal"/>
              <w:jc w:val="both"/>
              <w:rPr>
                <w:rFonts w:asciiTheme="minorHAnsi" w:hAnsiTheme="minorHAnsi" w:cs="Arial"/>
                <w:sz w:val="22"/>
                <w:szCs w:val="22"/>
              </w:rPr>
            </w:pPr>
            <w:r w:rsidRPr="0037120A">
              <w:rPr>
                <w:sz w:val="22"/>
                <w:szCs w:val="22"/>
                <w:lang w:val="en"/>
              </w:rPr>
              <w:t>In such a context, I think it is important to think about a protocol that would allow the safe opening of its food production spaces, such as listing on a sheet every day. defined number of people per day and well distributed in the garden, cleaning the entrance, closing the sheds until June (to avoid use of tools and contamination for multiurbase of these, but perhaps this is not necessary).</w:t>
            </w:r>
          </w:p>
          <w:p w14:paraId="0CBC50B2" w14:textId="77777777" w:rsidR="009362F0" w:rsidRPr="0037120A" w:rsidRDefault="009362F0" w:rsidP="0037120A">
            <w:pPr>
              <w:pStyle w:val="xmsonormal"/>
              <w:jc w:val="both"/>
              <w:rPr>
                <w:rFonts w:asciiTheme="minorHAnsi" w:hAnsiTheme="minorHAnsi" w:cs="Arial"/>
                <w:sz w:val="22"/>
                <w:szCs w:val="22"/>
              </w:rPr>
            </w:pPr>
            <w:r w:rsidRPr="0037120A">
              <w:rPr>
                <w:sz w:val="22"/>
                <w:szCs w:val="22"/>
                <w:lang w:val="en"/>
              </w:rPr>
              <w:t>It is clear that INSPQ's expertise would be necessary and useful for cities. Community gardens, collectives, etc. are not public spaces like any other. It's a bit like supermarkets of fresh vegetables for many vulnerable people, including immigrants in many neighborhoods, boroughs.</w:t>
            </w:r>
          </w:p>
          <w:p w14:paraId="2F708439" w14:textId="77777777" w:rsidR="009362F0" w:rsidRPr="0037120A" w:rsidRDefault="009362F0" w:rsidP="0037120A">
            <w:pPr>
              <w:rPr>
                <w:rFonts w:asciiTheme="minorHAnsi" w:hAnsiTheme="minorHAnsi" w:cs="Arial"/>
                <w:color w:val="000000"/>
                <w:sz w:val="22"/>
                <w:szCs w:val="22"/>
              </w:rPr>
            </w:pPr>
          </w:p>
        </w:tc>
      </w:tr>
      <w:tr w:rsidR="009362F0" w:rsidRPr="0037120A" w14:paraId="2C8B82A5" w14:textId="77777777" w:rsidTr="00CB649B">
        <w:tc>
          <w:tcPr>
            <w:tcW w:w="10837" w:type="dxa"/>
            <w:gridSpan w:val="3"/>
            <w:shd w:val="clear" w:color="auto" w:fill="1C819A"/>
          </w:tcPr>
          <w:p w14:paraId="687A07D6" w14:textId="77777777" w:rsidR="009362F0" w:rsidRPr="0037120A" w:rsidRDefault="009362F0" w:rsidP="0037120A">
            <w:pPr>
              <w:jc w:val="center"/>
              <w:rPr>
                <w:rFonts w:asciiTheme="minorHAnsi" w:hAnsiTheme="minorHAnsi" w:cs="Arial"/>
                <w:b/>
                <w:caps/>
                <w:color w:val="FFFFFF"/>
                <w:sz w:val="22"/>
                <w:szCs w:val="22"/>
              </w:rPr>
            </w:pPr>
            <w:r w:rsidRPr="0037120A">
              <w:rPr>
                <w:b/>
                <w:caps/>
                <w:color w:val="FFFFFF"/>
                <w:sz w:val="22"/>
                <w:szCs w:val="22"/>
                <w:lang w:val="en"/>
              </w:rPr>
              <w:t>Analysis</w:t>
            </w:r>
          </w:p>
        </w:tc>
      </w:tr>
      <w:tr w:rsidR="009362F0" w:rsidRPr="0037120A" w14:paraId="7558654D" w14:textId="77777777" w:rsidTr="00CB649B">
        <w:tc>
          <w:tcPr>
            <w:tcW w:w="10837" w:type="dxa"/>
            <w:gridSpan w:val="3"/>
            <w:shd w:val="clear" w:color="auto" w:fill="auto"/>
          </w:tcPr>
          <w:p w14:paraId="7F1FCEFA" w14:textId="4B195D3D" w:rsidR="00012959" w:rsidRPr="0037120A" w:rsidRDefault="004D678A" w:rsidP="0037120A">
            <w:pPr>
              <w:jc w:val="both"/>
              <w:rPr>
                <w:rFonts w:asciiTheme="minorHAnsi" w:hAnsiTheme="minorHAnsi" w:cs="Arial"/>
                <w:color w:val="212121"/>
                <w:sz w:val="22"/>
                <w:szCs w:val="22"/>
              </w:rPr>
            </w:pPr>
            <w:r w:rsidRPr="0037120A">
              <w:rPr>
                <w:color w:val="212121"/>
                <w:sz w:val="22"/>
                <w:szCs w:val="22"/>
                <w:lang w:val="en"/>
              </w:rPr>
              <w:t>The epidemiological situation of COVID-19</w:t>
            </w:r>
            <w:r w:rsidR="00894D7B">
              <w:rPr>
                <w:color w:val="212121"/>
                <w:sz w:val="22"/>
                <w:szCs w:val="22"/>
                <w:lang w:val="en"/>
              </w:rPr>
              <w:t xml:space="preserve"> </w:t>
            </w:r>
            <w:r w:rsidR="00676245">
              <w:rPr>
                <w:color w:val="212121"/>
                <w:sz w:val="22"/>
                <w:szCs w:val="22"/>
                <w:lang w:val="en"/>
              </w:rPr>
              <w:t>is rapidly</w:t>
            </w:r>
            <w:r w:rsidR="00894D7B">
              <w:rPr>
                <w:color w:val="212121"/>
                <w:sz w:val="22"/>
                <w:szCs w:val="22"/>
                <w:lang w:val="en"/>
              </w:rPr>
              <w:t xml:space="preserve"> </w:t>
            </w:r>
            <w:r w:rsidR="00321491">
              <w:rPr>
                <w:color w:val="212121"/>
                <w:sz w:val="22"/>
                <w:szCs w:val="22"/>
                <w:lang w:val="en"/>
              </w:rPr>
              <w:t xml:space="preserve">evolving </w:t>
            </w:r>
            <w:r w:rsidRPr="0037120A">
              <w:rPr>
                <w:color w:val="212121"/>
                <w:sz w:val="22"/>
                <w:szCs w:val="22"/>
                <w:lang w:val="en"/>
              </w:rPr>
              <w:t>in time and space. Currently, all 18 regions in Quebec are affected. However, the number of cases and the dynamics of the pandemic vary considerably from region to region. This opinion includes measures to be put in place to reduce the risk of transmission of COVID-19 among people engaged</w:t>
            </w:r>
            <w:r w:rsidR="00321491">
              <w:rPr>
                <w:color w:val="212121"/>
                <w:sz w:val="22"/>
                <w:szCs w:val="22"/>
                <w:lang w:val="en"/>
              </w:rPr>
              <w:t xml:space="preserve"> </w:t>
            </w:r>
            <w:r>
              <w:rPr>
                <w:lang w:val="en"/>
              </w:rPr>
              <w:t>in urban agriculture</w:t>
            </w:r>
            <w:r w:rsidR="00321491">
              <w:rPr>
                <w:lang w:val="en"/>
              </w:rPr>
              <w:t xml:space="preserve"> </w:t>
            </w:r>
            <w:r w:rsidR="00012959" w:rsidRPr="0037120A">
              <w:rPr>
                <w:color w:val="212121"/>
                <w:sz w:val="22"/>
                <w:szCs w:val="22"/>
                <w:lang w:val="en"/>
              </w:rPr>
              <w:t>in community and co</w:t>
            </w:r>
            <w:r w:rsidR="00321491">
              <w:rPr>
                <w:color w:val="212121"/>
                <w:sz w:val="22"/>
                <w:szCs w:val="22"/>
                <w:lang w:val="en"/>
              </w:rPr>
              <w:t>llective</w:t>
            </w:r>
            <w:r w:rsidR="00012959" w:rsidRPr="0037120A">
              <w:rPr>
                <w:color w:val="212121"/>
                <w:sz w:val="22"/>
                <w:szCs w:val="22"/>
                <w:lang w:val="en"/>
              </w:rPr>
              <w:t xml:space="preserve"> gardens.</w:t>
            </w:r>
          </w:p>
          <w:p w14:paraId="02544143" w14:textId="26C85DF4" w:rsidR="009362F0" w:rsidRPr="0037120A" w:rsidRDefault="00012959" w:rsidP="0037120A">
            <w:pPr>
              <w:jc w:val="both"/>
              <w:rPr>
                <w:rFonts w:asciiTheme="minorHAnsi" w:hAnsiTheme="minorHAnsi" w:cs="Arial"/>
                <w:sz w:val="22"/>
                <w:szCs w:val="22"/>
              </w:rPr>
            </w:pPr>
            <w:r w:rsidRPr="0037120A">
              <w:rPr>
                <w:color w:val="212121"/>
                <w:sz w:val="22"/>
                <w:szCs w:val="22"/>
                <w:lang w:val="en"/>
              </w:rPr>
              <w:t xml:space="preserve">The decision on the opening date of a community or collective garden should be taken by local authorities in consultation with the regional public health directorates and based on the local epidemiology of COVID and the presence of conditions to comply with the recommendations below. A </w:t>
            </w:r>
            <w:r w:rsidR="00321491">
              <w:rPr>
                <w:color w:val="212121"/>
                <w:sz w:val="22"/>
                <w:szCs w:val="22"/>
                <w:lang w:val="en"/>
              </w:rPr>
              <w:t>link</w:t>
            </w:r>
            <w:r w:rsidRPr="0037120A">
              <w:rPr>
                <w:color w:val="212121"/>
                <w:sz w:val="22"/>
                <w:szCs w:val="22"/>
                <w:lang w:val="en"/>
              </w:rPr>
              <w:t xml:space="preserve"> with the provincial </w:t>
            </w:r>
            <w:r w:rsidR="00321491">
              <w:rPr>
                <w:color w:val="212121"/>
                <w:sz w:val="22"/>
                <w:szCs w:val="22"/>
                <w:lang w:val="en"/>
              </w:rPr>
              <w:t>level</w:t>
            </w:r>
            <w:r w:rsidRPr="0037120A">
              <w:rPr>
                <w:color w:val="212121"/>
                <w:sz w:val="22"/>
                <w:szCs w:val="22"/>
                <w:lang w:val="en"/>
              </w:rPr>
              <w:t xml:space="preserve"> will also have to take place.</w:t>
            </w:r>
          </w:p>
        </w:tc>
      </w:tr>
      <w:tr w:rsidR="009362F0" w:rsidRPr="0037120A" w14:paraId="58B127BE" w14:textId="77777777" w:rsidTr="00CB649B">
        <w:tc>
          <w:tcPr>
            <w:tcW w:w="10837" w:type="dxa"/>
            <w:gridSpan w:val="3"/>
            <w:shd w:val="clear" w:color="auto" w:fill="1C819A"/>
          </w:tcPr>
          <w:p w14:paraId="5B33437E" w14:textId="77777777" w:rsidR="009362F0" w:rsidRPr="0037120A" w:rsidRDefault="009362F0" w:rsidP="0037120A">
            <w:pPr>
              <w:jc w:val="both"/>
              <w:rPr>
                <w:rFonts w:asciiTheme="minorHAnsi" w:hAnsiTheme="minorHAnsi" w:cs="Arial"/>
                <w:b/>
                <w:caps/>
                <w:color w:val="FFFFFF"/>
                <w:sz w:val="22"/>
                <w:szCs w:val="22"/>
              </w:rPr>
            </w:pPr>
            <w:r w:rsidRPr="0037120A">
              <w:rPr>
                <w:b/>
                <w:caps/>
                <w:color w:val="FFFFFF"/>
                <w:sz w:val="22"/>
                <w:szCs w:val="22"/>
                <w:lang w:val="en"/>
              </w:rPr>
              <w:t>Opinion</w:t>
            </w:r>
          </w:p>
        </w:tc>
      </w:tr>
      <w:tr w:rsidR="009362F0" w:rsidRPr="0037120A" w14:paraId="5DBD5147" w14:textId="77777777" w:rsidTr="00CB649B">
        <w:tc>
          <w:tcPr>
            <w:tcW w:w="10837" w:type="dxa"/>
            <w:gridSpan w:val="3"/>
            <w:shd w:val="clear" w:color="auto" w:fill="auto"/>
          </w:tcPr>
          <w:p w14:paraId="1F4E7E3D" w14:textId="3A0F34C6" w:rsidR="009362F0" w:rsidRPr="0037120A" w:rsidRDefault="009362F0" w:rsidP="0037120A">
            <w:pPr>
              <w:tabs>
                <w:tab w:val="left" w:pos="284"/>
              </w:tabs>
              <w:ind w:left="284" w:hanging="284"/>
              <w:jc w:val="both"/>
              <w:rPr>
                <w:rFonts w:asciiTheme="minorHAnsi" w:eastAsiaTheme="minorHAnsi" w:hAnsiTheme="minorHAnsi" w:cs="Arial"/>
                <w:b/>
                <w:sz w:val="22"/>
                <w:szCs w:val="22"/>
                <w:lang w:val="fr-FR" w:eastAsia="en-US"/>
              </w:rPr>
            </w:pPr>
            <w:r w:rsidRPr="0037120A">
              <w:rPr>
                <w:b/>
                <w:sz w:val="22"/>
                <w:szCs w:val="22"/>
                <w:lang w:val="en"/>
              </w:rPr>
              <w:t xml:space="preserve">In order to allow the safe opening </w:t>
            </w:r>
            <w:r w:rsidR="00B77B3F">
              <w:rPr>
                <w:b/>
                <w:sz w:val="22"/>
                <w:szCs w:val="22"/>
                <w:lang w:val="en"/>
              </w:rPr>
              <w:t>and</w:t>
            </w:r>
            <w:r w:rsidR="00321491">
              <w:rPr>
                <w:b/>
                <w:sz w:val="22"/>
                <w:szCs w:val="22"/>
                <w:lang w:val="en"/>
              </w:rPr>
              <w:t xml:space="preserve"> </w:t>
            </w:r>
            <w:r w:rsidR="00085708" w:rsidRPr="0037120A">
              <w:rPr>
                <w:b/>
                <w:sz w:val="22"/>
                <w:szCs w:val="22"/>
                <w:lang w:val="en"/>
              </w:rPr>
              <w:t>operation of community food production spaces (community gardens, co</w:t>
            </w:r>
            <w:r w:rsidR="00321491">
              <w:rPr>
                <w:b/>
                <w:sz w:val="22"/>
                <w:szCs w:val="22"/>
                <w:lang w:val="en"/>
              </w:rPr>
              <w:t>llective</w:t>
            </w:r>
            <w:r w:rsidR="00085708" w:rsidRPr="0037120A">
              <w:rPr>
                <w:b/>
                <w:sz w:val="22"/>
                <w:szCs w:val="22"/>
                <w:lang w:val="en"/>
              </w:rPr>
              <w:t xml:space="preserve"> gardens or other) it is recommended to:</w:t>
            </w:r>
          </w:p>
          <w:p w14:paraId="214DB850" w14:textId="07BD834F" w:rsidR="009362F0" w:rsidRPr="0037120A" w:rsidRDefault="009362F0" w:rsidP="0037120A">
            <w:pPr>
              <w:numPr>
                <w:ilvl w:val="0"/>
                <w:numId w:val="2"/>
              </w:numPr>
              <w:tabs>
                <w:tab w:val="left" w:pos="284"/>
              </w:tabs>
              <w:jc w:val="both"/>
              <w:rPr>
                <w:rFonts w:asciiTheme="minorHAnsi" w:eastAsiaTheme="minorHAnsi" w:hAnsiTheme="minorHAnsi" w:cs="Arial"/>
                <w:b/>
                <w:sz w:val="22"/>
                <w:szCs w:val="22"/>
                <w:lang w:val="fr-FR" w:eastAsia="en-US"/>
              </w:rPr>
            </w:pPr>
            <w:r w:rsidRPr="0037120A">
              <w:rPr>
                <w:sz w:val="22"/>
                <w:szCs w:val="22"/>
                <w:lang w:val="en"/>
              </w:rPr>
              <w:t>Put in place rules for the conduct of operations:</w:t>
            </w:r>
          </w:p>
          <w:p w14:paraId="3DA499D9" w14:textId="77777777" w:rsidR="009362F0" w:rsidRPr="0037120A" w:rsidRDefault="009362F0" w:rsidP="0037120A">
            <w:pPr>
              <w:numPr>
                <w:ilvl w:val="0"/>
                <w:numId w:val="1"/>
              </w:numPr>
              <w:tabs>
                <w:tab w:val="left" w:pos="284"/>
              </w:tabs>
              <w:ind w:left="284" w:hanging="284"/>
              <w:rPr>
                <w:rFonts w:asciiTheme="minorHAnsi" w:eastAsiaTheme="minorHAnsi" w:hAnsiTheme="minorHAnsi" w:cs="Arial"/>
                <w:sz w:val="22"/>
                <w:szCs w:val="22"/>
                <w:lang w:eastAsia="en-US"/>
              </w:rPr>
            </w:pPr>
            <w:r w:rsidRPr="0037120A">
              <w:rPr>
                <w:sz w:val="22"/>
                <w:szCs w:val="22"/>
                <w:lang w:val="en"/>
              </w:rPr>
              <w:t>Appoint a person responsible for controlling the whereabouts of users in public spaces.</w:t>
            </w:r>
          </w:p>
          <w:p w14:paraId="6EAEE9EE" w14:textId="77777777" w:rsidR="009362F0"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eastAsia="en-US"/>
              </w:rPr>
            </w:pPr>
            <w:r w:rsidRPr="0037120A">
              <w:rPr>
                <w:sz w:val="22"/>
                <w:szCs w:val="22"/>
                <w:lang w:val="en"/>
              </w:rPr>
              <w:t>Allow restricted access to authorized persons on a strictly respected schedule.</w:t>
            </w:r>
          </w:p>
          <w:p w14:paraId="47512FF8" w14:textId="77777777" w:rsidR="009362F0" w:rsidRPr="0037120A" w:rsidRDefault="009362F0" w:rsidP="0037120A">
            <w:pPr>
              <w:numPr>
                <w:ilvl w:val="0"/>
                <w:numId w:val="2"/>
              </w:numPr>
              <w:tabs>
                <w:tab w:val="left" w:pos="284"/>
              </w:tabs>
              <w:jc w:val="both"/>
              <w:rPr>
                <w:rFonts w:asciiTheme="minorHAnsi" w:eastAsiaTheme="minorHAnsi" w:hAnsiTheme="minorHAnsi" w:cs="Arial"/>
                <w:sz w:val="22"/>
                <w:szCs w:val="22"/>
                <w:lang w:val="fr-FR" w:eastAsia="en-US"/>
              </w:rPr>
            </w:pPr>
            <w:r w:rsidRPr="0037120A">
              <w:rPr>
                <w:sz w:val="22"/>
                <w:szCs w:val="22"/>
                <w:lang w:val="en"/>
              </w:rPr>
              <w:t>Ensure that users apply basic prevention practices, including:</w:t>
            </w:r>
          </w:p>
          <w:p w14:paraId="10AA1523" w14:textId="77777777" w:rsidR="009362F0"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sz w:val="22"/>
                <w:szCs w:val="22"/>
                <w:lang w:val="en"/>
              </w:rPr>
              <w:t>Promote hand hygiene by providing users with the necessary equipment (running water, soap, hydroalcoholic solutions, contactless garbage cans, disposable handkerchiefs, towels or disposable paper). Promote the respiratory label (cough in your folded elbow, or in a handkerchief that is discarded immediately after use, and then wash your hands as soon as possible). Strictly enforce the exclusion for people with coughs, fever, breathing difficulties or other symptoms that may be added according to the following website:</w:t>
            </w:r>
          </w:p>
          <w:p w14:paraId="67F9A399" w14:textId="77777777" w:rsidR="009362F0" w:rsidRPr="0037120A" w:rsidRDefault="00321491" w:rsidP="0037120A">
            <w:pPr>
              <w:ind w:left="568"/>
              <w:jc w:val="both"/>
              <w:rPr>
                <w:rFonts w:asciiTheme="minorHAnsi" w:eastAsiaTheme="minorHAnsi" w:hAnsiTheme="minorHAnsi" w:cs="Arial"/>
                <w:sz w:val="22"/>
                <w:szCs w:val="22"/>
                <w:lang w:val="fr-FR" w:eastAsia="en-US"/>
              </w:rPr>
            </w:pPr>
            <w:hyperlink r:id="rId7" w:anchor="c46790" w:history="1">
              <w:r w:rsidR="009362F0" w:rsidRPr="0037120A">
                <w:rPr>
                  <w:color w:val="1C819A"/>
                  <w:sz w:val="22"/>
                  <w:szCs w:val="22"/>
                  <w:u w:val="single"/>
                  <w:lang w:val="en"/>
                </w:rPr>
                <w:t>https://www.quebec.ca/sante/problemes-de-sante/a-z/coronavirus-2019/reponses-questions-coronaviruscovid19/#c46790</w:t>
              </w:r>
            </w:hyperlink>
          </w:p>
          <w:p w14:paraId="6F061426" w14:textId="5565069F" w:rsidR="009362F0" w:rsidRPr="0037120A" w:rsidRDefault="009362F0" w:rsidP="0037120A">
            <w:pPr>
              <w:numPr>
                <w:ilvl w:val="0"/>
                <w:numId w:val="2"/>
              </w:numPr>
              <w:tabs>
                <w:tab w:val="left" w:pos="284"/>
              </w:tabs>
              <w:jc w:val="both"/>
              <w:rPr>
                <w:rFonts w:asciiTheme="minorHAnsi" w:eastAsiaTheme="minorHAnsi" w:hAnsiTheme="minorHAnsi" w:cs="Arial"/>
                <w:sz w:val="22"/>
                <w:szCs w:val="22"/>
                <w:lang w:val="fr-FR" w:eastAsia="en-US"/>
              </w:rPr>
            </w:pPr>
            <w:r w:rsidRPr="0037120A">
              <w:rPr>
                <w:sz w:val="22"/>
                <w:szCs w:val="22"/>
                <w:lang w:val="en"/>
              </w:rPr>
              <w:t>Promote physical distance measures:</w:t>
            </w:r>
          </w:p>
          <w:p w14:paraId="573FE167" w14:textId="77777777" w:rsidR="00DC0E43"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sz w:val="22"/>
                <w:szCs w:val="22"/>
                <w:lang w:val="en"/>
              </w:rPr>
              <w:t>Avoid physical contact (e.g., handshakes, hugs, etc.).</w:t>
            </w:r>
          </w:p>
          <w:p w14:paraId="48B6FFF6" w14:textId="77777777" w:rsidR="00DC0E43"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sz w:val="22"/>
                <w:szCs w:val="22"/>
                <w:lang w:val="en"/>
              </w:rPr>
              <w:t>Respect a distance of 2 meters between individuals.</w:t>
            </w:r>
          </w:p>
          <w:p w14:paraId="2F866E83" w14:textId="77777777" w:rsidR="009D4668"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sz w:val="22"/>
                <w:szCs w:val="22"/>
                <w:lang w:val="en"/>
              </w:rPr>
              <w:t>Avoid gatherings of people (e.g., meetings or breaks).</w:t>
            </w:r>
          </w:p>
          <w:p w14:paraId="534A71E1" w14:textId="77777777" w:rsidR="009D4668"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sz w:val="22"/>
                <w:szCs w:val="22"/>
                <w:lang w:val="en"/>
              </w:rPr>
              <w:t>Avoid sharing equipment and equipment (e.g., construction equipment, gardening tools, etc.)</w:t>
            </w:r>
          </w:p>
          <w:p w14:paraId="69FF99DB" w14:textId="77777777" w:rsidR="009362F0" w:rsidRPr="0037120A" w:rsidRDefault="009362F0" w:rsidP="0037120A">
            <w:pPr>
              <w:numPr>
                <w:ilvl w:val="0"/>
                <w:numId w:val="1"/>
              </w:numPr>
              <w:tabs>
                <w:tab w:val="left" w:pos="284"/>
              </w:tabs>
              <w:ind w:left="284" w:hanging="284"/>
              <w:jc w:val="both"/>
              <w:rPr>
                <w:rFonts w:asciiTheme="minorHAnsi" w:eastAsiaTheme="minorHAnsi" w:hAnsiTheme="minorHAnsi" w:cs="Arial"/>
                <w:sz w:val="22"/>
                <w:szCs w:val="22"/>
                <w:lang w:val="fr-FR" w:eastAsia="en-US"/>
              </w:rPr>
            </w:pPr>
            <w:r w:rsidRPr="0037120A">
              <w:rPr>
                <w:sz w:val="22"/>
                <w:szCs w:val="22"/>
                <w:lang w:val="en"/>
              </w:rPr>
              <w:lastRenderedPageBreak/>
              <w:t>Place all objects and food on a clean surface, respecting the distance of 2 meters between individuals.</w:t>
            </w:r>
          </w:p>
          <w:p w14:paraId="0DBE4D97" w14:textId="77777777" w:rsidR="009362F0" w:rsidRPr="0037120A" w:rsidRDefault="009362F0" w:rsidP="0037120A">
            <w:pPr>
              <w:numPr>
                <w:ilvl w:val="0"/>
                <w:numId w:val="2"/>
              </w:numPr>
              <w:tabs>
                <w:tab w:val="left" w:pos="284"/>
              </w:tabs>
              <w:jc w:val="both"/>
              <w:rPr>
                <w:rFonts w:asciiTheme="minorHAnsi" w:eastAsiaTheme="minorHAnsi" w:hAnsiTheme="minorHAnsi" w:cs="Arial"/>
                <w:sz w:val="22"/>
                <w:szCs w:val="22"/>
                <w:lang w:val="fr-FR" w:eastAsia="en-US"/>
              </w:rPr>
            </w:pPr>
            <w:r w:rsidRPr="0037120A">
              <w:rPr>
                <w:sz w:val="22"/>
                <w:szCs w:val="22"/>
                <w:lang w:val="en"/>
              </w:rPr>
              <w:t>Hygiene:</w:t>
            </w:r>
          </w:p>
          <w:p w14:paraId="58B343F7" w14:textId="0C632094" w:rsidR="009D4668" w:rsidRPr="00D93BA7" w:rsidRDefault="009362F0" w:rsidP="0037120A">
            <w:pPr>
              <w:numPr>
                <w:ilvl w:val="0"/>
                <w:numId w:val="1"/>
              </w:numPr>
              <w:tabs>
                <w:tab w:val="left" w:pos="284"/>
              </w:tabs>
              <w:ind w:left="284" w:hanging="284"/>
              <w:jc w:val="both"/>
              <w:rPr>
                <w:rFonts w:ascii="Calibri" w:eastAsiaTheme="minorHAnsi" w:hAnsi="Calibri" w:cs="Calibri"/>
                <w:sz w:val="22"/>
                <w:szCs w:val="22"/>
                <w:lang w:val="fr-FR" w:eastAsia="en-US"/>
              </w:rPr>
            </w:pPr>
            <w:r w:rsidRPr="0037120A">
              <w:rPr>
                <w:sz w:val="22"/>
                <w:szCs w:val="22"/>
                <w:lang w:val="en"/>
              </w:rPr>
              <w:t>At the beginning and end of each work period or during any user change, clean and disinfect the</w:t>
            </w:r>
            <w:r w:rsidR="00321491">
              <w:rPr>
                <w:sz w:val="22"/>
                <w:szCs w:val="22"/>
                <w:lang w:val="en"/>
              </w:rPr>
              <w:t xml:space="preserve"> </w:t>
            </w:r>
            <w:r w:rsidRPr="00D93BA7">
              <w:rPr>
                <w:sz w:val="22"/>
                <w:szCs w:val="22"/>
                <w:lang w:val="en"/>
              </w:rPr>
              <w:t>materials and tools.</w:t>
            </w:r>
          </w:p>
          <w:p w14:paraId="1FE5DBAF" w14:textId="3078A267" w:rsidR="00D93BA7" w:rsidRPr="00D93BA7" w:rsidRDefault="009362F0" w:rsidP="00D93BA7">
            <w:pPr>
              <w:rPr>
                <w:rFonts w:ascii="Calibri" w:hAnsi="Calibri" w:cs="Calibri"/>
                <w:sz w:val="22"/>
                <w:szCs w:val="22"/>
              </w:rPr>
            </w:pPr>
            <w:r w:rsidRPr="00D93BA7">
              <w:rPr>
                <w:sz w:val="22"/>
                <w:szCs w:val="22"/>
                <w:lang w:val="en"/>
              </w:rPr>
              <w:t xml:space="preserve">Clean work and storage space, frequently affected surfaces, common areas (picnic tables, counters, accessories, etc.). A fact sheet has been produced by inSPQ regarding cleaning procedures: </w:t>
            </w:r>
            <w:hyperlink r:id="rId8" w:history="1">
              <w:r w:rsidR="00D93BA7" w:rsidRPr="00D93BA7">
                <w:rPr>
                  <w:rStyle w:val="Hyperlink"/>
                  <w:sz w:val="22"/>
                  <w:szCs w:val="22"/>
                  <w:lang w:val="en"/>
                </w:rPr>
                <w:t>https://www.inspq.qc.ca/covid-19/environnement/nettoyage-surfaces</w:t>
              </w:r>
            </w:hyperlink>
          </w:p>
          <w:p w14:paraId="704337B7" w14:textId="31871E47" w:rsidR="009362F0" w:rsidRPr="0037120A" w:rsidRDefault="009362F0" w:rsidP="00D93BA7">
            <w:pPr>
              <w:tabs>
                <w:tab w:val="left" w:pos="284"/>
              </w:tabs>
              <w:jc w:val="both"/>
              <w:rPr>
                <w:rFonts w:asciiTheme="minorHAnsi" w:eastAsiaTheme="minorHAnsi" w:hAnsiTheme="minorHAnsi" w:cs="Arial"/>
                <w:sz w:val="22"/>
                <w:szCs w:val="22"/>
                <w:lang w:val="fr-FR" w:eastAsia="en-US"/>
              </w:rPr>
            </w:pPr>
          </w:p>
        </w:tc>
      </w:tr>
      <w:tr w:rsidR="009362F0" w:rsidRPr="0037120A" w14:paraId="3F6A7AF8" w14:textId="77777777" w:rsidTr="00CB649B">
        <w:tc>
          <w:tcPr>
            <w:tcW w:w="10837" w:type="dxa"/>
            <w:gridSpan w:val="3"/>
            <w:shd w:val="clear" w:color="auto" w:fill="1C819A"/>
          </w:tcPr>
          <w:p w14:paraId="42E3FCEA" w14:textId="77777777" w:rsidR="009362F0" w:rsidRPr="0037120A" w:rsidRDefault="009362F0" w:rsidP="0037120A">
            <w:pPr>
              <w:jc w:val="center"/>
              <w:rPr>
                <w:rFonts w:ascii="Arial" w:hAnsi="Arial" w:cs="Arial"/>
                <w:b/>
                <w:color w:val="FFFFFF"/>
                <w:sz w:val="22"/>
                <w:szCs w:val="22"/>
              </w:rPr>
            </w:pPr>
            <w:r w:rsidRPr="0037120A">
              <w:rPr>
                <w:b/>
                <w:color w:val="FFFFFF"/>
                <w:sz w:val="22"/>
                <w:szCs w:val="22"/>
                <w:lang w:val="en"/>
              </w:rPr>
              <w:lastRenderedPageBreak/>
              <w:t>References</w:t>
            </w:r>
          </w:p>
        </w:tc>
      </w:tr>
      <w:tr w:rsidR="009362F0" w:rsidRPr="0037120A" w14:paraId="78ACF9D9" w14:textId="77777777" w:rsidTr="00CB649B">
        <w:tc>
          <w:tcPr>
            <w:tcW w:w="10837" w:type="dxa"/>
            <w:gridSpan w:val="3"/>
            <w:shd w:val="clear" w:color="auto" w:fill="auto"/>
          </w:tcPr>
          <w:p w14:paraId="72FC4D63" w14:textId="26AC2C4F" w:rsidR="00D50FAC" w:rsidRPr="0037120A" w:rsidRDefault="00D50FAC" w:rsidP="0037120A">
            <w:pPr>
              <w:jc w:val="both"/>
              <w:rPr>
                <w:rFonts w:asciiTheme="minorHAnsi" w:eastAsiaTheme="minorHAnsi" w:hAnsiTheme="minorHAnsi" w:cs="Arial"/>
                <w:sz w:val="22"/>
                <w:szCs w:val="22"/>
                <w:lang w:val="fr-FR" w:eastAsia="fr-FR"/>
              </w:rPr>
            </w:pPr>
            <w:r w:rsidRPr="0037120A">
              <w:rPr>
                <w:sz w:val="22"/>
                <w:szCs w:val="22"/>
                <w:lang w:val="en"/>
              </w:rPr>
              <w:t>For more information on COVID-19 and the agricultural environments, the following sites can be very useful:</w:t>
            </w:r>
          </w:p>
          <w:p w14:paraId="5431D23D" w14:textId="77777777" w:rsidR="00D50FAC" w:rsidRPr="0037120A" w:rsidRDefault="00D50FAC" w:rsidP="0037120A">
            <w:pPr>
              <w:pStyle w:val="ListParagraph"/>
              <w:numPr>
                <w:ilvl w:val="0"/>
                <w:numId w:val="3"/>
              </w:numPr>
              <w:jc w:val="both"/>
              <w:rPr>
                <w:rFonts w:asciiTheme="minorHAnsi" w:eastAsiaTheme="minorHAnsi" w:hAnsiTheme="minorHAnsi" w:cs="Arial"/>
                <w:sz w:val="22"/>
                <w:szCs w:val="22"/>
                <w:lang w:val="fr-FR" w:eastAsia="fr-FR"/>
              </w:rPr>
            </w:pPr>
            <w:r w:rsidRPr="0037120A">
              <w:rPr>
                <w:sz w:val="22"/>
                <w:szCs w:val="22"/>
                <w:lang w:val="en"/>
              </w:rPr>
              <w:t>INSPQ Interim Recommendations for Farm Workers in Vegetable and Animal Production</w:t>
            </w:r>
          </w:p>
          <w:p w14:paraId="165B50FE" w14:textId="77777777" w:rsidR="00D50FAC" w:rsidRPr="0037120A" w:rsidRDefault="00321491" w:rsidP="0037120A">
            <w:pPr>
              <w:pStyle w:val="ListParagraph"/>
              <w:jc w:val="both"/>
              <w:rPr>
                <w:rFonts w:asciiTheme="minorHAnsi" w:eastAsiaTheme="minorHAnsi" w:hAnsiTheme="minorHAnsi" w:cs="Arial"/>
                <w:sz w:val="22"/>
                <w:szCs w:val="22"/>
                <w:lang w:val="fr-FR" w:eastAsia="fr-FR"/>
              </w:rPr>
            </w:pPr>
            <w:hyperlink r:id="rId9" w:history="1">
              <w:r w:rsidR="00D50FAC" w:rsidRPr="0037120A">
                <w:rPr>
                  <w:rStyle w:val="Hyperlink"/>
                  <w:sz w:val="22"/>
                  <w:szCs w:val="22"/>
                  <w:lang w:val="en"/>
                </w:rPr>
                <w:t xml:space="preserve"> https://www.inspq.qc.ca/sites/default/files/covid/2947-travailleurs-agricoles-covid19.pdf</w:t>
              </w:r>
            </w:hyperlink>
          </w:p>
          <w:p w14:paraId="483EEA27" w14:textId="077F0EC4" w:rsidR="00D50FAC" w:rsidRPr="0037120A" w:rsidRDefault="00D50FAC" w:rsidP="0037120A">
            <w:pPr>
              <w:pStyle w:val="ListParagraph"/>
              <w:numPr>
                <w:ilvl w:val="0"/>
                <w:numId w:val="3"/>
              </w:numPr>
              <w:jc w:val="both"/>
              <w:rPr>
                <w:rFonts w:asciiTheme="minorHAnsi" w:eastAsiaTheme="minorHAnsi" w:hAnsiTheme="minorHAnsi" w:cs="Arial"/>
                <w:sz w:val="22"/>
                <w:szCs w:val="22"/>
                <w:lang w:val="fr-FR" w:eastAsia="fr-FR"/>
              </w:rPr>
            </w:pPr>
            <w:r w:rsidRPr="0037120A">
              <w:rPr>
                <w:sz w:val="22"/>
                <w:szCs w:val="22"/>
                <w:lang w:val="en"/>
              </w:rPr>
              <w:t>MAPAQ COVID-19 question-and-answer document available at:</w:t>
            </w:r>
          </w:p>
          <w:p w14:paraId="30A9B7C1" w14:textId="77777777" w:rsidR="00D50FAC" w:rsidRPr="0037120A" w:rsidRDefault="00321491" w:rsidP="0037120A">
            <w:pPr>
              <w:ind w:left="720" w:hanging="360"/>
              <w:jc w:val="both"/>
              <w:rPr>
                <w:rFonts w:asciiTheme="minorHAnsi" w:eastAsiaTheme="minorHAnsi" w:hAnsiTheme="minorHAnsi" w:cs="Arial"/>
                <w:sz w:val="22"/>
                <w:szCs w:val="22"/>
                <w:lang w:val="fr-FR" w:eastAsia="fr-FR"/>
              </w:rPr>
            </w:pPr>
            <w:hyperlink r:id="rId10" w:history="1">
              <w:r w:rsidR="00D50FAC" w:rsidRPr="0037120A">
                <w:rPr>
                  <w:color w:val="1C819A"/>
                  <w:sz w:val="22"/>
                  <w:szCs w:val="22"/>
                  <w:u w:val="single"/>
                  <w:lang w:val="en"/>
                </w:rPr>
                <w:t>https://www.mapaq.gouv.qc.ca/fr/Avis_Publicite/Pages/COVID-19_QuestionsReponses.aspx</w:t>
              </w:r>
            </w:hyperlink>
          </w:p>
          <w:p w14:paraId="79FB3BEE" w14:textId="5AC0468B" w:rsidR="00D50FAC" w:rsidRPr="0037120A" w:rsidRDefault="00D50FAC" w:rsidP="0037120A">
            <w:pPr>
              <w:pStyle w:val="ListParagraph"/>
              <w:numPr>
                <w:ilvl w:val="0"/>
                <w:numId w:val="3"/>
              </w:numPr>
              <w:jc w:val="both"/>
              <w:rPr>
                <w:rFonts w:asciiTheme="minorHAnsi" w:eastAsiaTheme="minorHAnsi" w:hAnsiTheme="minorHAnsi" w:cs="Arial"/>
                <w:sz w:val="22"/>
                <w:szCs w:val="22"/>
                <w:lang w:val="fr-FR" w:eastAsia="fr-FR"/>
              </w:rPr>
            </w:pPr>
            <w:r w:rsidRPr="0037120A">
              <w:rPr>
                <w:sz w:val="22"/>
                <w:szCs w:val="22"/>
                <w:lang w:val="en"/>
              </w:rPr>
              <w:t>Industry document produced by Agriculture and Agri-Food Canada available at</w:t>
            </w:r>
          </w:p>
          <w:p w14:paraId="36370AFA" w14:textId="77777777" w:rsidR="009362F0" w:rsidRPr="0037120A" w:rsidRDefault="00321491" w:rsidP="0037120A">
            <w:pPr>
              <w:pStyle w:val="ListParagraph"/>
              <w:ind w:left="0"/>
              <w:contextualSpacing/>
              <w:rPr>
                <w:rFonts w:ascii="Arial" w:hAnsi="Arial" w:cs="Arial"/>
                <w:sz w:val="22"/>
                <w:szCs w:val="22"/>
              </w:rPr>
            </w:pPr>
            <w:hyperlink r:id="rId11" w:history="1">
              <w:r w:rsidR="00D50FAC" w:rsidRPr="0037120A">
                <w:rPr>
                  <w:color w:val="1C819A"/>
                  <w:sz w:val="22"/>
                  <w:szCs w:val="22"/>
                  <w:u w:val="single"/>
                  <w:lang w:val="en"/>
                </w:rPr>
                <w:t>http://www.agr.gc.ca/fra/maladie-a-coronavirus-covid-19-information-pour-lindustrie/?id=1584732749543</w:t>
              </w:r>
            </w:hyperlink>
          </w:p>
        </w:tc>
      </w:tr>
      <w:tr w:rsidR="009362F0" w:rsidRPr="0037120A" w14:paraId="7910D41B" w14:textId="77777777" w:rsidTr="00CB649B">
        <w:trPr>
          <w:trHeight w:val="370"/>
        </w:trPr>
        <w:tc>
          <w:tcPr>
            <w:tcW w:w="1565" w:type="dxa"/>
            <w:shd w:val="clear" w:color="auto" w:fill="auto"/>
            <w:vAlign w:val="center"/>
          </w:tcPr>
          <w:p w14:paraId="1EFA02A7" w14:textId="77777777" w:rsidR="009362F0" w:rsidRPr="0037120A" w:rsidRDefault="009362F0" w:rsidP="0037120A">
            <w:pPr>
              <w:rPr>
                <w:rFonts w:ascii="Calibri" w:hAnsi="Calibri"/>
                <w:sz w:val="22"/>
                <w:szCs w:val="22"/>
              </w:rPr>
            </w:pPr>
            <w:r w:rsidRPr="0037120A">
              <w:rPr>
                <w:sz w:val="22"/>
                <w:szCs w:val="22"/>
                <w:lang w:val="en"/>
              </w:rPr>
              <w:t>Writing:</w:t>
            </w:r>
          </w:p>
        </w:tc>
        <w:tc>
          <w:tcPr>
            <w:tcW w:w="9272" w:type="dxa"/>
            <w:gridSpan w:val="2"/>
            <w:shd w:val="clear" w:color="auto" w:fill="auto"/>
            <w:vAlign w:val="center"/>
          </w:tcPr>
          <w:p w14:paraId="78448E37" w14:textId="33760F9E" w:rsidR="009362F0" w:rsidRPr="0037120A" w:rsidRDefault="009D4668" w:rsidP="0037120A">
            <w:pPr>
              <w:rPr>
                <w:rFonts w:ascii="Arial" w:hAnsi="Arial" w:cs="Arial"/>
                <w:sz w:val="22"/>
                <w:szCs w:val="22"/>
              </w:rPr>
            </w:pPr>
            <w:r w:rsidRPr="0037120A">
              <w:rPr>
                <w:sz w:val="22"/>
                <w:szCs w:val="22"/>
                <w:lang w:val="en"/>
              </w:rPr>
              <w:t>Vladimir Gilca, France Bouchard, Marilou Kiely and Chantal Sauvageau for the committee knew</w:t>
            </w:r>
            <w:r w:rsidR="003A3B52">
              <w:rPr>
                <w:sz w:val="22"/>
                <w:szCs w:val="22"/>
                <w:lang w:val="en"/>
              </w:rPr>
              <w:t>the population measures with the collaboration of the environmental and occupational health teams.</w:t>
            </w:r>
          </w:p>
        </w:tc>
      </w:tr>
      <w:tr w:rsidR="009362F0" w:rsidRPr="0037120A" w14:paraId="49467BF8" w14:textId="77777777" w:rsidTr="00CB649B">
        <w:trPr>
          <w:trHeight w:val="370"/>
        </w:trPr>
        <w:tc>
          <w:tcPr>
            <w:tcW w:w="1565" w:type="dxa"/>
            <w:shd w:val="clear" w:color="auto" w:fill="auto"/>
            <w:vAlign w:val="center"/>
          </w:tcPr>
          <w:p w14:paraId="15A60107" w14:textId="77777777" w:rsidR="009362F0" w:rsidRPr="0037120A" w:rsidRDefault="009362F0" w:rsidP="0037120A">
            <w:pPr>
              <w:rPr>
                <w:rFonts w:ascii="Calibri" w:hAnsi="Calibri"/>
                <w:sz w:val="22"/>
                <w:szCs w:val="22"/>
              </w:rPr>
            </w:pPr>
            <w:r w:rsidRPr="0037120A">
              <w:rPr>
                <w:sz w:val="22"/>
                <w:szCs w:val="22"/>
                <w:lang w:val="en"/>
              </w:rPr>
              <w:t>Approval:</w:t>
            </w:r>
          </w:p>
        </w:tc>
        <w:tc>
          <w:tcPr>
            <w:tcW w:w="9272" w:type="dxa"/>
            <w:gridSpan w:val="2"/>
            <w:shd w:val="clear" w:color="auto" w:fill="auto"/>
            <w:vAlign w:val="center"/>
          </w:tcPr>
          <w:p w14:paraId="1C822EB4" w14:textId="77777777" w:rsidR="009362F0" w:rsidRPr="0037120A" w:rsidRDefault="009362F0" w:rsidP="0037120A">
            <w:pPr>
              <w:rPr>
                <w:rFonts w:ascii="Arial" w:hAnsi="Arial" w:cs="Arial"/>
                <w:sz w:val="22"/>
                <w:szCs w:val="22"/>
              </w:rPr>
            </w:pPr>
          </w:p>
        </w:tc>
      </w:tr>
    </w:tbl>
    <w:p w14:paraId="300EA4FF" w14:textId="77777777" w:rsidR="009362F0" w:rsidRDefault="009362F0" w:rsidP="0037120A">
      <w:pPr>
        <w:rPr>
          <w:rFonts w:ascii="Arial Narrow" w:hAnsi="Arial Narrow"/>
          <w:sz w:val="20"/>
          <w:szCs w:val="20"/>
        </w:rPr>
      </w:pPr>
    </w:p>
    <w:p w14:paraId="3CDCA48D" w14:textId="23186A57" w:rsidR="002F6CF2" w:rsidRDefault="009362F0" w:rsidP="0037120A">
      <w:r>
        <w:rPr>
          <w:sz w:val="20"/>
          <w:szCs w:val="20"/>
          <w:lang w:val="en"/>
        </w:rPr>
        <w:t>Note that this opinion relates to the scientific evidence available a</w:t>
      </w:r>
      <w:bookmarkStart w:id="0" w:name="_GoBack"/>
      <w:bookmarkEnd w:id="0"/>
      <w:r>
        <w:rPr>
          <w:sz w:val="20"/>
          <w:szCs w:val="20"/>
          <w:lang w:val="en"/>
        </w:rPr>
        <w:t>s of the date of that notice.</w:t>
      </w:r>
    </w:p>
    <w:sectPr w:rsidR="002F6CF2" w:rsidSect="00745FC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C8C"/>
    <w:multiLevelType w:val="hybridMultilevel"/>
    <w:tmpl w:val="D4240C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2D9382A"/>
    <w:multiLevelType w:val="hybridMultilevel"/>
    <w:tmpl w:val="E18C3C6C"/>
    <w:lvl w:ilvl="0" w:tplc="0C0C0011">
      <w:start w:val="1"/>
      <w:numFmt w:val="decimal"/>
      <w:lvlText w:val="%1)"/>
      <w:lvlJc w:val="left"/>
      <w:pPr>
        <w:ind w:left="720" w:hanging="360"/>
      </w:pPr>
      <w:rPr>
        <w:rFonts w:hint="default"/>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DA43E99"/>
    <w:multiLevelType w:val="hybridMultilevel"/>
    <w:tmpl w:val="74960DBC"/>
    <w:lvl w:ilvl="0" w:tplc="E8162A9C">
      <w:start w:val="1"/>
      <w:numFmt w:val="bullet"/>
      <w:lvlText w:val=""/>
      <w:lvlJc w:val="left"/>
      <w:pPr>
        <w:ind w:left="2140" w:hanging="360"/>
      </w:pPr>
      <w:rPr>
        <w:rFonts w:ascii="Wingdings" w:hAnsi="Wingdings" w:hint="default"/>
        <w:color w:val="EF7516"/>
        <w:sz w:val="22"/>
        <w:u w:color="70AD47" w:themeColor="accent6"/>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E8"/>
    <w:rsid w:val="00012959"/>
    <w:rsid w:val="00085708"/>
    <w:rsid w:val="00156F4D"/>
    <w:rsid w:val="00272796"/>
    <w:rsid w:val="00321491"/>
    <w:rsid w:val="003325B2"/>
    <w:rsid w:val="0037120A"/>
    <w:rsid w:val="003A3B52"/>
    <w:rsid w:val="004D678A"/>
    <w:rsid w:val="00561EAA"/>
    <w:rsid w:val="00613D30"/>
    <w:rsid w:val="00676245"/>
    <w:rsid w:val="007311CB"/>
    <w:rsid w:val="00894D7B"/>
    <w:rsid w:val="008F730B"/>
    <w:rsid w:val="009362F0"/>
    <w:rsid w:val="009A7718"/>
    <w:rsid w:val="009D4668"/>
    <w:rsid w:val="00A24092"/>
    <w:rsid w:val="00A25AB6"/>
    <w:rsid w:val="00AB31E8"/>
    <w:rsid w:val="00B77B3F"/>
    <w:rsid w:val="00D50FAC"/>
    <w:rsid w:val="00D93BA7"/>
    <w:rsid w:val="00DA5A5D"/>
    <w:rsid w:val="00DC0E43"/>
    <w:rsid w:val="00DE0A49"/>
    <w:rsid w:val="00E44C7D"/>
    <w:rsid w:val="00F40A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41CD"/>
  <w15:docId w15:val="{8CACAEA8-3764-4210-84F9-665A912A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F0"/>
    <w:pPr>
      <w:spacing w:after="0" w:line="240" w:lineRule="auto"/>
    </w:pPr>
    <w:rPr>
      <w:rFonts w:ascii="Times New Roman" w:eastAsia="Times New Roman" w:hAnsi="Times New Roman" w:cs="Times New Roman"/>
      <w:sz w:val="24"/>
      <w:szCs w:val="24"/>
      <w:lang w:eastAsia="fr-CA"/>
    </w:rPr>
  </w:style>
  <w:style w:type="paragraph" w:styleId="Heading1">
    <w:name w:val="heading 1"/>
    <w:basedOn w:val="Normal"/>
    <w:next w:val="Normal"/>
    <w:link w:val="Heading1Char"/>
    <w:uiPriority w:val="9"/>
    <w:rsid w:val="009362F0"/>
    <w:pPr>
      <w:keepNext/>
      <w:keepLines/>
      <w:tabs>
        <w:tab w:val="num" w:pos="709"/>
      </w:tabs>
      <w:spacing w:after="240"/>
      <w:ind w:left="709" w:hanging="709"/>
      <w:outlineLvl w:val="0"/>
    </w:pPr>
    <w:rPr>
      <w:rFonts w:ascii="HelveticaNeueLT Std" w:hAnsi="HelveticaNeueLT Std"/>
      <w:b/>
      <w:bCs/>
      <w:color w:val="EF7516"/>
      <w:sz w:val="3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2F0"/>
    <w:rPr>
      <w:rFonts w:ascii="HelveticaNeueLT Std" w:eastAsia="Times New Roman" w:hAnsi="HelveticaNeueLT Std" w:cs="Times New Roman"/>
      <w:b/>
      <w:bCs/>
      <w:color w:val="EF7516"/>
      <w:sz w:val="32"/>
      <w:szCs w:val="28"/>
    </w:rPr>
  </w:style>
  <w:style w:type="paragraph" w:styleId="ListParagraph">
    <w:name w:val="List Paragraph"/>
    <w:basedOn w:val="Normal"/>
    <w:uiPriority w:val="34"/>
    <w:qFormat/>
    <w:rsid w:val="009362F0"/>
    <w:pPr>
      <w:ind w:left="720"/>
    </w:pPr>
  </w:style>
  <w:style w:type="character" w:styleId="Hyperlink">
    <w:name w:val="Hyperlink"/>
    <w:basedOn w:val="DefaultParagraphFont"/>
    <w:uiPriority w:val="99"/>
    <w:unhideWhenUsed/>
    <w:rsid w:val="009362F0"/>
    <w:rPr>
      <w:color w:val="0000FF"/>
      <w:u w:val="single"/>
    </w:rPr>
  </w:style>
  <w:style w:type="paragraph" w:customStyle="1" w:styleId="xmsonormal">
    <w:name w:val="xmsonormal"/>
    <w:basedOn w:val="Normal"/>
    <w:rsid w:val="009362F0"/>
    <w:rPr>
      <w:rFonts w:eastAsiaTheme="minorHAnsi"/>
    </w:rPr>
  </w:style>
  <w:style w:type="paragraph" w:styleId="BalloonText">
    <w:name w:val="Balloon Text"/>
    <w:basedOn w:val="Normal"/>
    <w:link w:val="BalloonTextChar"/>
    <w:uiPriority w:val="99"/>
    <w:semiHidden/>
    <w:unhideWhenUsed/>
    <w:rsid w:val="009D4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68"/>
    <w:rPr>
      <w:rFonts w:ascii="Segoe UI" w:eastAsia="Times New Roman" w:hAnsi="Segoe UI" w:cs="Segoe UI"/>
      <w:sz w:val="18"/>
      <w:szCs w:val="18"/>
      <w:lang w:eastAsia="fr-CA"/>
    </w:rPr>
  </w:style>
  <w:style w:type="character" w:styleId="CommentReference">
    <w:name w:val="annotation reference"/>
    <w:basedOn w:val="DefaultParagraphFont"/>
    <w:uiPriority w:val="99"/>
    <w:semiHidden/>
    <w:unhideWhenUsed/>
    <w:rsid w:val="00DC0E43"/>
    <w:rPr>
      <w:sz w:val="16"/>
      <w:szCs w:val="16"/>
    </w:rPr>
  </w:style>
  <w:style w:type="paragraph" w:styleId="CommentText">
    <w:name w:val="annotation text"/>
    <w:basedOn w:val="Normal"/>
    <w:link w:val="CommentTextChar"/>
    <w:uiPriority w:val="99"/>
    <w:semiHidden/>
    <w:unhideWhenUsed/>
    <w:rsid w:val="00DC0E43"/>
    <w:rPr>
      <w:sz w:val="20"/>
      <w:szCs w:val="20"/>
    </w:rPr>
  </w:style>
  <w:style w:type="character" w:customStyle="1" w:styleId="CommentTextChar">
    <w:name w:val="Comment Text Char"/>
    <w:basedOn w:val="DefaultParagraphFont"/>
    <w:link w:val="CommentText"/>
    <w:uiPriority w:val="99"/>
    <w:semiHidden/>
    <w:rsid w:val="00DC0E43"/>
    <w:rPr>
      <w:rFonts w:ascii="Times New Roman" w:eastAsia="Times New Roman" w:hAnsi="Times New Roman" w:cs="Times New Roman"/>
      <w:sz w:val="20"/>
      <w:szCs w:val="20"/>
      <w:lang w:eastAsia="fr-CA"/>
    </w:rPr>
  </w:style>
  <w:style w:type="paragraph" w:styleId="CommentSubject">
    <w:name w:val="annotation subject"/>
    <w:basedOn w:val="CommentText"/>
    <w:next w:val="CommentText"/>
    <w:link w:val="CommentSubjectChar"/>
    <w:uiPriority w:val="99"/>
    <w:semiHidden/>
    <w:unhideWhenUsed/>
    <w:rsid w:val="00DC0E43"/>
    <w:rPr>
      <w:b/>
      <w:bCs/>
    </w:rPr>
  </w:style>
  <w:style w:type="character" w:customStyle="1" w:styleId="CommentSubjectChar">
    <w:name w:val="Comment Subject Char"/>
    <w:basedOn w:val="CommentTextChar"/>
    <w:link w:val="CommentSubject"/>
    <w:uiPriority w:val="99"/>
    <w:semiHidden/>
    <w:rsid w:val="00DC0E43"/>
    <w:rPr>
      <w:rFonts w:ascii="Times New Roman" w:eastAsia="Times New Roman" w:hAnsi="Times New Roman" w:cs="Times New Roman"/>
      <w:b/>
      <w:bCs/>
      <w:sz w:val="20"/>
      <w:szCs w:val="20"/>
      <w:lang w:eastAsia="fr-CA"/>
    </w:rPr>
  </w:style>
  <w:style w:type="character" w:styleId="PlaceholderText">
    <w:name w:val="Placeholder Text"/>
    <w:basedOn w:val="DefaultParagraphFont"/>
    <w:uiPriority w:val="99"/>
    <w:semiHidden/>
    <w:rsid w:val="007311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74040">
      <w:bodyDiv w:val="1"/>
      <w:marLeft w:val="0"/>
      <w:marRight w:val="0"/>
      <w:marTop w:val="0"/>
      <w:marBottom w:val="0"/>
      <w:divBdr>
        <w:top w:val="none" w:sz="0" w:space="0" w:color="auto"/>
        <w:left w:val="none" w:sz="0" w:space="0" w:color="auto"/>
        <w:bottom w:val="none" w:sz="0" w:space="0" w:color="auto"/>
        <w:right w:val="none" w:sz="0" w:space="0" w:color="auto"/>
      </w:divBdr>
    </w:div>
    <w:div w:id="17134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inspq.qc.ca%2Fcovid-19%2Fenvironnement%2Fnettoyage-surfaces&amp;data=02%7C01%7C%7C91bbcb12607f4c9f146508d7dcb8bbc0%7C1cfd1395271149f5b90fba4278776919%7C0%7C0%7C637220558432136468&amp;sdata=2hceOwXKSnDz1%2FKHkGV3hplUZRcCsg8I1k%2FYfL4LAy8%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ebec.ca/sante/problemes-de-sante/a-z/coronavirus-2019/reponses-questions-coronaviru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agriurbain.hypotheses.org%2F4739&amp;data=02%7C01%7C%7C8e845ef0058f4148d6ca08d7dbf716a3%7C1cfd1395271149f5b90fba4278776919%7C0%7C1%7C637219726736221614&amp;sdata=R6A%2FZ85mDOWuvxbEJUXIPtlwjnIOrVa4Ju0ogrTSp6Y%3D&amp;reserved=0" TargetMode="External"/><Relationship Id="rId11" Type="http://schemas.openxmlformats.org/officeDocument/2006/relationships/hyperlink" Target="http://www.agr.gc.ca/fra/maladie-a-coronavirus-covid-19-information-pour-lindustrie/?id=1584732749543" TargetMode="External"/><Relationship Id="rId5" Type="http://schemas.openxmlformats.org/officeDocument/2006/relationships/image" Target="media/image1.jpeg"/><Relationship Id="rId10" Type="http://schemas.openxmlformats.org/officeDocument/2006/relationships/hyperlink" Target="https://www.mapaq.gouv.qc.ca/fr/Avis_Publicite/Pages/COVID-19_QuestionsReponses.aspx" TargetMode="External"/><Relationship Id="rId4" Type="http://schemas.openxmlformats.org/officeDocument/2006/relationships/webSettings" Target="webSettings.xml"/><Relationship Id="rId9" Type="http://schemas.openxmlformats.org/officeDocument/2006/relationships/hyperlink" Target="https://www.inspq.qc.ca/sites/default/files/covid/2947-travailleurs-agricoles-covid1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955</Words>
  <Characters>5456</Characters>
  <Application>Microsoft Office Word</Application>
  <DocSecurity>0</DocSecurity>
  <Lines>218</Lines>
  <Paragraphs>173</Paragraphs>
  <ScaleCrop>false</ScaleCrop>
  <HeadingPairs>
    <vt:vector size="2" baseType="variant">
      <vt:variant>
        <vt:lpstr>Titre</vt:lpstr>
      </vt:variant>
      <vt:variant>
        <vt:i4>1</vt:i4>
      </vt:variant>
    </vt:vector>
  </HeadingPairs>
  <TitlesOfParts>
    <vt:vector size="1" baseType="lpstr">
      <vt:lpstr/>
    </vt:vector>
  </TitlesOfParts>
  <Company>INSPQ</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Gilca</dc:creator>
  <cp:lastModifiedBy>Moe Garahan</cp:lastModifiedBy>
  <cp:revision>3</cp:revision>
  <dcterms:created xsi:type="dcterms:W3CDTF">2020-04-14T01:35:00Z</dcterms:created>
  <dcterms:modified xsi:type="dcterms:W3CDTF">2020-04-14T01:39:00Z</dcterms:modified>
</cp:coreProperties>
</file>