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ED98" w14:textId="77777777" w:rsidR="009362F0" w:rsidRDefault="009362F0" w:rsidP="0037120A">
      <w:pPr>
        <w:ind w:left="-720"/>
        <w:rPr>
          <w:rFonts w:ascii="Arial" w:hAnsi="Arial" w:cs="Arial"/>
        </w:rPr>
      </w:pPr>
      <w:bookmarkStart w:id="0" w:name="_GoBack"/>
      <w:bookmarkEnd w:id="0"/>
      <w:r>
        <w:rPr>
          <w:noProof/>
        </w:rPr>
        <w:drawing>
          <wp:anchor distT="0" distB="0" distL="114300" distR="114300" simplePos="0" relativeHeight="251659264" behindDoc="0" locked="0" layoutInCell="1" allowOverlap="1" wp14:anchorId="77A18DDC" wp14:editId="0BCC2C8F">
            <wp:simplePos x="0" y="0"/>
            <wp:positionH relativeFrom="column">
              <wp:posOffset>8255</wp:posOffset>
            </wp:positionH>
            <wp:positionV relativeFrom="paragraph">
              <wp:posOffset>-46990</wp:posOffset>
            </wp:positionV>
            <wp:extent cx="1809115" cy="501015"/>
            <wp:effectExtent l="0" t="0" r="635" b="0"/>
            <wp:wrapNone/>
            <wp:docPr id="1" name="Image 1" descr="RBST_couleur_cmyk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BST_couleur_cmykMoy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115"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8920C" w14:textId="77777777" w:rsidR="009362F0" w:rsidRDefault="009362F0" w:rsidP="0037120A">
      <w:pPr>
        <w:ind w:left="-720"/>
        <w:rPr>
          <w:rFonts w:ascii="Arial" w:hAnsi="Arial" w:cs="Arial"/>
        </w:rPr>
      </w:pPr>
    </w:p>
    <w:p w14:paraId="27F7A82F" w14:textId="77777777" w:rsidR="009362F0" w:rsidRDefault="009362F0" w:rsidP="0037120A">
      <w:pPr>
        <w:ind w:left="-720"/>
        <w:rPr>
          <w:rFonts w:ascii="Arial" w:hAnsi="Arial" w:cs="Arial"/>
        </w:rPr>
      </w:pPr>
    </w:p>
    <w:p w14:paraId="62FBEB0A" w14:textId="77777777" w:rsidR="009362F0" w:rsidRDefault="009362F0" w:rsidP="0037120A">
      <w:pPr>
        <w:ind w:left="-720"/>
        <w:rPr>
          <w:rFonts w:ascii="Arial" w:hAnsi="Arial" w:cs="Arial"/>
        </w:rPr>
      </w:pPr>
      <w:r>
        <w:rPr>
          <w:rFonts w:ascii="Arial" w:hAnsi="Arial" w:cs="Arial"/>
        </w:rPr>
        <w:tab/>
      </w:r>
      <w:r>
        <w:rPr>
          <w:rFonts w:ascii="Arial" w:hAnsi="Arial" w:cs="Arial"/>
        </w:rPr>
        <w:tab/>
      </w:r>
      <w:r>
        <w:rPr>
          <w:rFonts w:ascii="Arial" w:hAnsi="Arial" w:cs="Arial"/>
        </w:rPr>
        <w:tab/>
      </w:r>
    </w:p>
    <w:p w14:paraId="7574C1E9" w14:textId="77777777" w:rsidR="009362F0" w:rsidRPr="00071415" w:rsidRDefault="009362F0" w:rsidP="0037120A">
      <w:pPr>
        <w:pStyle w:val="Heading1"/>
        <w:spacing w:after="0"/>
        <w:ind w:left="0" w:firstLine="0"/>
        <w:jc w:val="center"/>
      </w:pPr>
      <w:r>
        <w:t>Avis</w:t>
      </w:r>
    </w:p>
    <w:p w14:paraId="1B3FFB56" w14:textId="77777777" w:rsidR="009362F0" w:rsidRDefault="009362F0" w:rsidP="0037120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29"/>
        <w:gridCol w:w="8288"/>
      </w:tblGrid>
      <w:tr w:rsidR="009362F0" w:rsidRPr="0037120A" w14:paraId="61A198FA" w14:textId="77777777" w:rsidTr="00CB649B">
        <w:tc>
          <w:tcPr>
            <w:tcW w:w="2410" w:type="dxa"/>
            <w:gridSpan w:val="2"/>
            <w:shd w:val="clear" w:color="auto" w:fill="FFFFFF"/>
          </w:tcPr>
          <w:p w14:paraId="0099D71B" w14:textId="77777777" w:rsidR="009362F0" w:rsidRPr="0037120A" w:rsidRDefault="009362F0" w:rsidP="0037120A">
            <w:pPr>
              <w:rPr>
                <w:rFonts w:ascii="Calibri" w:hAnsi="Calibri"/>
                <w:sz w:val="22"/>
                <w:szCs w:val="22"/>
              </w:rPr>
            </w:pPr>
            <w:r w:rsidRPr="0037120A">
              <w:rPr>
                <w:rFonts w:ascii="Calibri" w:hAnsi="Calibri"/>
                <w:b/>
                <w:sz w:val="22"/>
                <w:szCs w:val="22"/>
              </w:rPr>
              <w:t>Date :</w:t>
            </w:r>
            <w:r w:rsidRPr="0037120A">
              <w:rPr>
                <w:rFonts w:ascii="Calibri" w:hAnsi="Calibri"/>
                <w:sz w:val="22"/>
                <w:szCs w:val="22"/>
              </w:rPr>
              <w:t xml:space="preserve"> 2020-04-08</w:t>
            </w:r>
          </w:p>
        </w:tc>
        <w:tc>
          <w:tcPr>
            <w:tcW w:w="8427" w:type="dxa"/>
            <w:shd w:val="clear" w:color="auto" w:fill="FFFFFF"/>
          </w:tcPr>
          <w:p w14:paraId="28DDD784" w14:textId="77777777" w:rsidR="009362F0" w:rsidRPr="0037120A" w:rsidRDefault="009362F0" w:rsidP="0037120A">
            <w:pPr>
              <w:rPr>
                <w:rFonts w:ascii="Calibri" w:hAnsi="Calibri"/>
                <w:b/>
                <w:sz w:val="22"/>
                <w:szCs w:val="22"/>
              </w:rPr>
            </w:pPr>
            <w:r w:rsidRPr="0037120A">
              <w:rPr>
                <w:rFonts w:ascii="Calibri" w:hAnsi="Calibri"/>
                <w:b/>
                <w:sz w:val="22"/>
                <w:szCs w:val="22"/>
              </w:rPr>
              <w:t xml:space="preserve">Sujet: jardins communautaires, collectifs, </w:t>
            </w:r>
            <w:proofErr w:type="spellStart"/>
            <w:r w:rsidRPr="0037120A">
              <w:rPr>
                <w:rFonts w:ascii="Calibri" w:hAnsi="Calibri"/>
                <w:b/>
                <w:sz w:val="22"/>
                <w:szCs w:val="22"/>
              </w:rPr>
              <w:t>etc</w:t>
            </w:r>
            <w:proofErr w:type="spellEnd"/>
          </w:p>
        </w:tc>
      </w:tr>
      <w:tr w:rsidR="009362F0" w:rsidRPr="0037120A" w14:paraId="52E82BA2" w14:textId="77777777" w:rsidTr="00CB649B">
        <w:tc>
          <w:tcPr>
            <w:tcW w:w="10837" w:type="dxa"/>
            <w:gridSpan w:val="3"/>
            <w:shd w:val="clear" w:color="auto" w:fill="1C819A"/>
          </w:tcPr>
          <w:p w14:paraId="0F7692BE" w14:textId="77777777" w:rsidR="009362F0" w:rsidRPr="0037120A" w:rsidRDefault="009362F0" w:rsidP="0037120A">
            <w:pPr>
              <w:jc w:val="center"/>
              <w:rPr>
                <w:rFonts w:ascii="Calibri" w:hAnsi="Calibri"/>
                <w:b/>
                <w:color w:val="FFFFFF"/>
                <w:sz w:val="22"/>
                <w:szCs w:val="22"/>
              </w:rPr>
            </w:pPr>
            <w:r w:rsidRPr="0037120A">
              <w:rPr>
                <w:rFonts w:ascii="Calibri" w:hAnsi="Calibri"/>
                <w:b/>
                <w:color w:val="FFFFFF"/>
                <w:sz w:val="22"/>
                <w:szCs w:val="22"/>
              </w:rPr>
              <w:t>QUESTION</w:t>
            </w:r>
          </w:p>
        </w:tc>
      </w:tr>
      <w:tr w:rsidR="009362F0" w:rsidRPr="0037120A" w14:paraId="0A8D4418" w14:textId="77777777" w:rsidTr="00CB649B">
        <w:tc>
          <w:tcPr>
            <w:tcW w:w="10837" w:type="dxa"/>
            <w:gridSpan w:val="3"/>
            <w:shd w:val="clear" w:color="auto" w:fill="auto"/>
          </w:tcPr>
          <w:p w14:paraId="2FDED0ED" w14:textId="77777777" w:rsidR="009362F0" w:rsidRPr="0037120A" w:rsidRDefault="009362F0" w:rsidP="0037120A">
            <w:pPr>
              <w:pStyle w:val="xmsonormal"/>
              <w:jc w:val="both"/>
              <w:rPr>
                <w:rFonts w:asciiTheme="minorHAnsi" w:hAnsiTheme="minorHAnsi" w:cs="Arial"/>
                <w:sz w:val="22"/>
                <w:szCs w:val="22"/>
              </w:rPr>
            </w:pPr>
            <w:r w:rsidRPr="0037120A">
              <w:rPr>
                <w:rFonts w:asciiTheme="minorHAnsi" w:hAnsiTheme="minorHAnsi" w:cs="Arial"/>
                <w:sz w:val="22"/>
                <w:szCs w:val="22"/>
              </w:rPr>
              <w:t xml:space="preserve">Dans le cadre de la recherche </w:t>
            </w:r>
            <w:r w:rsidRPr="0037120A">
              <w:rPr>
                <w:rFonts w:asciiTheme="minorHAnsi" w:hAnsiTheme="minorHAnsi" w:cs="Arial"/>
                <w:i/>
                <w:iCs/>
                <w:sz w:val="22"/>
                <w:szCs w:val="22"/>
              </w:rPr>
              <w:t>Évaluation de l’agriculture urbaine comme infrastructure verte de résilience individuelle et collective face aux changements climatiques et sociaux,</w:t>
            </w:r>
            <w:r w:rsidRPr="0037120A">
              <w:rPr>
                <w:rFonts w:asciiTheme="minorHAnsi" w:hAnsiTheme="minorHAnsi" w:cs="Arial"/>
                <w:sz w:val="22"/>
                <w:szCs w:val="22"/>
              </w:rPr>
              <w:t xml:space="preserve"> que nous menons avec de nombreux partenaires depuis 2017, nous avons été amené à mettre à jour l'importance alimentaire des initiatives en agriculture urbaine (</w:t>
            </w:r>
            <w:hyperlink r:id="rId6" w:history="1">
              <w:r w:rsidRPr="0037120A">
                <w:rPr>
                  <w:rStyle w:val="Hyperlink"/>
                  <w:rFonts w:asciiTheme="minorHAnsi" w:hAnsiTheme="minorHAnsi" w:cs="Arial"/>
                  <w:sz w:val="22"/>
                  <w:szCs w:val="22"/>
                </w:rPr>
                <w:t>https://agriurbain.hypotheses.org/4739</w:t>
              </w:r>
            </w:hyperlink>
            <w:r w:rsidRPr="0037120A">
              <w:rPr>
                <w:rFonts w:asciiTheme="minorHAnsi" w:hAnsiTheme="minorHAnsi" w:cs="Arial"/>
                <w:sz w:val="22"/>
                <w:szCs w:val="22"/>
              </w:rPr>
              <w:t>). </w:t>
            </w:r>
          </w:p>
          <w:p w14:paraId="1201DD3B" w14:textId="77777777" w:rsidR="009362F0" w:rsidRPr="0037120A" w:rsidRDefault="009362F0" w:rsidP="0037120A">
            <w:pPr>
              <w:pStyle w:val="xmsonormal"/>
              <w:jc w:val="both"/>
              <w:rPr>
                <w:rFonts w:asciiTheme="minorHAnsi" w:hAnsiTheme="minorHAnsi" w:cs="Arial"/>
                <w:sz w:val="22"/>
                <w:szCs w:val="22"/>
              </w:rPr>
            </w:pPr>
            <w:r w:rsidRPr="0037120A">
              <w:rPr>
                <w:rFonts w:asciiTheme="minorHAnsi" w:hAnsiTheme="minorHAnsi" w:cs="Arial"/>
                <w:sz w:val="22"/>
                <w:szCs w:val="22"/>
              </w:rPr>
              <w:t>Actuellement (en situation du COVID19) de nombreux partenaires de cette recherche et d'autres partenaires du Laboratoire sur l'agriculture urbaine, tentent de voir comment il serait possible pour eux d'ouvrir les jardins communautaires le 1 mai. Ceux-ci sont une activité agricole et une source alimentaire conséquente pour de nombreuses familles. Le 1 mai est la date des premiers semis directs, tandis que la production plus importante commence la 2e ou 3e semaine de mai. </w:t>
            </w:r>
          </w:p>
          <w:p w14:paraId="6C90DEB2" w14:textId="77777777" w:rsidR="009362F0" w:rsidRPr="0037120A" w:rsidRDefault="009362F0" w:rsidP="0037120A">
            <w:pPr>
              <w:pStyle w:val="xmsonormal"/>
              <w:jc w:val="both"/>
              <w:rPr>
                <w:rFonts w:asciiTheme="minorHAnsi" w:hAnsiTheme="minorHAnsi" w:cs="Arial"/>
                <w:sz w:val="22"/>
                <w:szCs w:val="22"/>
              </w:rPr>
            </w:pPr>
            <w:r w:rsidRPr="0037120A">
              <w:rPr>
                <w:rFonts w:asciiTheme="minorHAnsi" w:hAnsiTheme="minorHAnsi" w:cs="Arial"/>
                <w:sz w:val="22"/>
                <w:szCs w:val="22"/>
              </w:rPr>
              <w:t xml:space="preserve">Dans un tel contexte, je crois important de réfléchir à un protocole qui permettrait l'ouverture sécuritaire de ses espaces de production alimentaire, du type inscription sur une feuille chaque jour. nombre défini de personnes par jour et bien répartie dans le jardin, nettoyage de l'entrée, fermeture des cabanons jusqu'en juin (pour éviter usage des outils et contamination pour multi </w:t>
            </w:r>
            <w:proofErr w:type="spellStart"/>
            <w:r w:rsidRPr="0037120A">
              <w:rPr>
                <w:rFonts w:asciiTheme="minorHAnsi" w:hAnsiTheme="minorHAnsi" w:cs="Arial"/>
                <w:sz w:val="22"/>
                <w:szCs w:val="22"/>
              </w:rPr>
              <w:t>urbase</w:t>
            </w:r>
            <w:proofErr w:type="spellEnd"/>
            <w:r w:rsidRPr="0037120A">
              <w:rPr>
                <w:rFonts w:asciiTheme="minorHAnsi" w:hAnsiTheme="minorHAnsi" w:cs="Arial"/>
                <w:sz w:val="22"/>
                <w:szCs w:val="22"/>
              </w:rPr>
              <w:t xml:space="preserve"> de ceux-ci, mais peut être que cela n'est pas nécessaire). </w:t>
            </w:r>
          </w:p>
          <w:p w14:paraId="0CBC50B2" w14:textId="77777777" w:rsidR="009362F0" w:rsidRPr="0037120A" w:rsidRDefault="009362F0" w:rsidP="0037120A">
            <w:pPr>
              <w:pStyle w:val="xmsonormal"/>
              <w:jc w:val="both"/>
              <w:rPr>
                <w:rFonts w:asciiTheme="minorHAnsi" w:hAnsiTheme="minorHAnsi" w:cs="Arial"/>
                <w:sz w:val="22"/>
                <w:szCs w:val="22"/>
              </w:rPr>
            </w:pPr>
            <w:r w:rsidRPr="0037120A">
              <w:rPr>
                <w:rFonts w:asciiTheme="minorHAnsi" w:hAnsiTheme="minorHAnsi" w:cs="Arial"/>
                <w:sz w:val="22"/>
                <w:szCs w:val="22"/>
              </w:rPr>
              <w:t>Il est évident que l'expertise de l'INSPQ serait nécessaire et utile pour les villes. Les jardins communautaires, collectifs, etc...ne sont pas des espaces publics comme les autres. Ce sont un peu les supermarchés de légumes frais pour de nombreuses personnes vulnérables, dont les personnes immigrantes dans de nombreux quartiers, arrondissements.</w:t>
            </w:r>
          </w:p>
          <w:p w14:paraId="2F708439" w14:textId="77777777" w:rsidR="009362F0" w:rsidRPr="0037120A" w:rsidRDefault="009362F0" w:rsidP="0037120A">
            <w:pPr>
              <w:rPr>
                <w:rFonts w:asciiTheme="minorHAnsi" w:hAnsiTheme="minorHAnsi" w:cs="Arial"/>
                <w:color w:val="000000"/>
                <w:sz w:val="22"/>
                <w:szCs w:val="22"/>
              </w:rPr>
            </w:pPr>
          </w:p>
        </w:tc>
      </w:tr>
      <w:tr w:rsidR="009362F0" w:rsidRPr="0037120A" w14:paraId="2C8B82A5" w14:textId="77777777" w:rsidTr="00CB649B">
        <w:tc>
          <w:tcPr>
            <w:tcW w:w="10837" w:type="dxa"/>
            <w:gridSpan w:val="3"/>
            <w:shd w:val="clear" w:color="auto" w:fill="1C819A"/>
          </w:tcPr>
          <w:p w14:paraId="687A07D6" w14:textId="77777777" w:rsidR="009362F0" w:rsidRPr="0037120A" w:rsidRDefault="009362F0" w:rsidP="0037120A">
            <w:pPr>
              <w:jc w:val="center"/>
              <w:rPr>
                <w:rFonts w:asciiTheme="minorHAnsi" w:hAnsiTheme="minorHAnsi" w:cs="Arial"/>
                <w:b/>
                <w:caps/>
                <w:color w:val="FFFFFF"/>
                <w:sz w:val="22"/>
                <w:szCs w:val="22"/>
              </w:rPr>
            </w:pPr>
            <w:r w:rsidRPr="0037120A">
              <w:rPr>
                <w:rFonts w:asciiTheme="minorHAnsi" w:hAnsiTheme="minorHAnsi" w:cs="Arial"/>
                <w:b/>
                <w:caps/>
                <w:color w:val="FFFFFF"/>
                <w:sz w:val="22"/>
                <w:szCs w:val="22"/>
              </w:rPr>
              <w:t>Analyse</w:t>
            </w:r>
          </w:p>
        </w:tc>
      </w:tr>
      <w:tr w:rsidR="009362F0" w:rsidRPr="0037120A" w14:paraId="7558654D" w14:textId="77777777" w:rsidTr="00CB649B">
        <w:tc>
          <w:tcPr>
            <w:tcW w:w="10837" w:type="dxa"/>
            <w:gridSpan w:val="3"/>
            <w:shd w:val="clear" w:color="auto" w:fill="auto"/>
          </w:tcPr>
          <w:p w14:paraId="7F1FCEFA" w14:textId="6375E625" w:rsidR="00012959" w:rsidRPr="0037120A" w:rsidRDefault="004D678A" w:rsidP="0037120A">
            <w:pPr>
              <w:jc w:val="both"/>
              <w:rPr>
                <w:rFonts w:asciiTheme="minorHAnsi" w:hAnsiTheme="minorHAnsi" w:cs="Arial"/>
                <w:color w:val="212121"/>
                <w:sz w:val="22"/>
                <w:szCs w:val="22"/>
              </w:rPr>
            </w:pPr>
            <w:r w:rsidRPr="0037120A">
              <w:rPr>
                <w:rFonts w:asciiTheme="minorHAnsi" w:hAnsiTheme="minorHAnsi" w:cs="Arial"/>
                <w:color w:val="212121"/>
                <w:sz w:val="22"/>
                <w:szCs w:val="22"/>
              </w:rPr>
              <w:t>La situation épidémiologique de la COVID-19 év</w:t>
            </w:r>
            <w:r w:rsidR="00676245">
              <w:rPr>
                <w:rFonts w:asciiTheme="minorHAnsi" w:hAnsiTheme="minorHAnsi" w:cs="Arial"/>
                <w:color w:val="212121"/>
                <w:sz w:val="22"/>
                <w:szCs w:val="22"/>
              </w:rPr>
              <w:t>o</w:t>
            </w:r>
            <w:r w:rsidRPr="0037120A">
              <w:rPr>
                <w:rFonts w:asciiTheme="minorHAnsi" w:hAnsiTheme="minorHAnsi" w:cs="Arial"/>
                <w:color w:val="212121"/>
                <w:sz w:val="22"/>
                <w:szCs w:val="22"/>
              </w:rPr>
              <w:t>lue rapidement dans le temps et l’espace. Présentement</w:t>
            </w:r>
            <w:r w:rsidR="00D50FAC" w:rsidRPr="0037120A">
              <w:rPr>
                <w:rFonts w:asciiTheme="minorHAnsi" w:hAnsiTheme="minorHAnsi" w:cs="Arial"/>
                <w:color w:val="212121"/>
                <w:sz w:val="22"/>
                <w:szCs w:val="22"/>
              </w:rPr>
              <w:t>,</w:t>
            </w:r>
            <w:r w:rsidRPr="0037120A">
              <w:rPr>
                <w:rFonts w:asciiTheme="minorHAnsi" w:hAnsiTheme="minorHAnsi" w:cs="Arial"/>
                <w:color w:val="212121"/>
                <w:sz w:val="22"/>
                <w:szCs w:val="22"/>
              </w:rPr>
              <w:t xml:space="preserve"> toutes les 18 régions du Québec sont </w:t>
            </w:r>
            <w:r w:rsidR="00DC0E43" w:rsidRPr="0037120A">
              <w:rPr>
                <w:rFonts w:asciiTheme="minorHAnsi" w:hAnsiTheme="minorHAnsi" w:cs="Arial"/>
                <w:color w:val="212121"/>
                <w:sz w:val="22"/>
                <w:szCs w:val="22"/>
              </w:rPr>
              <w:t>touchées</w:t>
            </w:r>
            <w:r w:rsidRPr="0037120A">
              <w:rPr>
                <w:rFonts w:asciiTheme="minorHAnsi" w:hAnsiTheme="minorHAnsi" w:cs="Arial"/>
                <w:color w:val="212121"/>
                <w:sz w:val="22"/>
                <w:szCs w:val="22"/>
              </w:rPr>
              <w:t xml:space="preserve">. Toutefois, le nombre de cas </w:t>
            </w:r>
            <w:r w:rsidR="00012959" w:rsidRPr="0037120A">
              <w:rPr>
                <w:rFonts w:asciiTheme="minorHAnsi" w:hAnsiTheme="minorHAnsi" w:cs="Arial"/>
                <w:color w:val="212121"/>
                <w:sz w:val="22"/>
                <w:szCs w:val="22"/>
              </w:rPr>
              <w:t xml:space="preserve">et la dynamique de la pandémie varie considérablement d’une </w:t>
            </w:r>
            <w:r w:rsidR="009D4668" w:rsidRPr="0037120A">
              <w:rPr>
                <w:rFonts w:asciiTheme="minorHAnsi" w:hAnsiTheme="minorHAnsi" w:cs="Arial"/>
                <w:color w:val="212121"/>
                <w:sz w:val="22"/>
                <w:szCs w:val="22"/>
              </w:rPr>
              <w:t>région à l’autre. Cet avis comprend</w:t>
            </w:r>
            <w:r w:rsidR="00012959" w:rsidRPr="0037120A">
              <w:rPr>
                <w:rFonts w:asciiTheme="minorHAnsi" w:hAnsiTheme="minorHAnsi" w:cs="Arial"/>
                <w:color w:val="212121"/>
                <w:sz w:val="22"/>
                <w:szCs w:val="22"/>
              </w:rPr>
              <w:t xml:space="preserve"> les mesures à mettre en place pour diminuer le risque de transmission de la COVID-19 chez les personnes pratiquant l’agriculture urbain</w:t>
            </w:r>
            <w:r w:rsidR="00676245">
              <w:rPr>
                <w:rFonts w:asciiTheme="minorHAnsi" w:hAnsiTheme="minorHAnsi" w:cs="Arial"/>
                <w:color w:val="212121"/>
                <w:sz w:val="22"/>
                <w:szCs w:val="22"/>
              </w:rPr>
              <w:t>e</w:t>
            </w:r>
            <w:r w:rsidR="00012959" w:rsidRPr="0037120A">
              <w:rPr>
                <w:rFonts w:asciiTheme="minorHAnsi" w:hAnsiTheme="minorHAnsi" w:cs="Arial"/>
                <w:color w:val="212121"/>
                <w:sz w:val="22"/>
                <w:szCs w:val="22"/>
              </w:rPr>
              <w:t xml:space="preserve"> dans les jardins communautaires et collecti</w:t>
            </w:r>
            <w:r w:rsidR="009D4668" w:rsidRPr="0037120A">
              <w:rPr>
                <w:rFonts w:asciiTheme="minorHAnsi" w:hAnsiTheme="minorHAnsi" w:cs="Arial"/>
                <w:color w:val="212121"/>
                <w:sz w:val="22"/>
                <w:szCs w:val="22"/>
              </w:rPr>
              <w:t>fs</w:t>
            </w:r>
            <w:r w:rsidR="00012959" w:rsidRPr="0037120A">
              <w:rPr>
                <w:rFonts w:asciiTheme="minorHAnsi" w:hAnsiTheme="minorHAnsi" w:cs="Arial"/>
                <w:color w:val="212121"/>
                <w:sz w:val="22"/>
                <w:szCs w:val="22"/>
              </w:rPr>
              <w:t xml:space="preserve">. </w:t>
            </w:r>
          </w:p>
          <w:p w14:paraId="02544143" w14:textId="6BE5D01E" w:rsidR="009362F0" w:rsidRPr="0037120A" w:rsidRDefault="00012959" w:rsidP="0037120A">
            <w:pPr>
              <w:jc w:val="both"/>
              <w:rPr>
                <w:rFonts w:asciiTheme="minorHAnsi" w:hAnsiTheme="minorHAnsi" w:cs="Arial"/>
                <w:sz w:val="22"/>
                <w:szCs w:val="22"/>
              </w:rPr>
            </w:pPr>
            <w:r w:rsidRPr="0037120A">
              <w:rPr>
                <w:rFonts w:asciiTheme="minorHAnsi" w:hAnsiTheme="minorHAnsi" w:cs="Arial"/>
                <w:color w:val="212121"/>
                <w:sz w:val="22"/>
                <w:szCs w:val="22"/>
              </w:rPr>
              <w:t xml:space="preserve">La décision concernant </w:t>
            </w:r>
            <w:r w:rsidR="009D4668" w:rsidRPr="0037120A">
              <w:rPr>
                <w:rFonts w:asciiTheme="minorHAnsi" w:hAnsiTheme="minorHAnsi" w:cs="Arial"/>
                <w:color w:val="212121"/>
                <w:sz w:val="22"/>
                <w:szCs w:val="22"/>
              </w:rPr>
              <w:t>la date d’</w:t>
            </w:r>
            <w:r w:rsidRPr="0037120A">
              <w:rPr>
                <w:rFonts w:asciiTheme="minorHAnsi" w:hAnsiTheme="minorHAnsi" w:cs="Arial"/>
                <w:color w:val="212121"/>
                <w:sz w:val="22"/>
                <w:szCs w:val="22"/>
              </w:rPr>
              <w:t>ouverture d’un jardin</w:t>
            </w:r>
            <w:r w:rsidR="009D4668" w:rsidRPr="0037120A">
              <w:rPr>
                <w:rFonts w:asciiTheme="minorHAnsi" w:hAnsiTheme="minorHAnsi" w:cs="Arial"/>
                <w:color w:val="212121"/>
                <w:sz w:val="22"/>
                <w:szCs w:val="22"/>
              </w:rPr>
              <w:t xml:space="preserve"> communautaire ou collectif</w:t>
            </w:r>
            <w:r w:rsidRPr="0037120A">
              <w:rPr>
                <w:rFonts w:asciiTheme="minorHAnsi" w:hAnsiTheme="minorHAnsi" w:cs="Arial"/>
                <w:color w:val="212121"/>
                <w:sz w:val="22"/>
                <w:szCs w:val="22"/>
              </w:rPr>
              <w:t xml:space="preserve"> devrait être prise par les autorités locales en concertation avec les directions</w:t>
            </w:r>
            <w:r w:rsidR="00D50FAC" w:rsidRPr="0037120A">
              <w:rPr>
                <w:rFonts w:asciiTheme="minorHAnsi" w:hAnsiTheme="minorHAnsi" w:cs="Arial"/>
                <w:color w:val="212121"/>
                <w:sz w:val="22"/>
                <w:szCs w:val="22"/>
              </w:rPr>
              <w:t xml:space="preserve"> régionales de santé publique</w:t>
            </w:r>
            <w:r w:rsidR="009D4668" w:rsidRPr="0037120A">
              <w:rPr>
                <w:rFonts w:asciiTheme="minorHAnsi" w:hAnsiTheme="minorHAnsi" w:cs="Arial"/>
                <w:color w:val="212121"/>
                <w:sz w:val="22"/>
                <w:szCs w:val="22"/>
              </w:rPr>
              <w:t xml:space="preserve"> et</w:t>
            </w:r>
            <w:r w:rsidRPr="0037120A">
              <w:rPr>
                <w:rFonts w:asciiTheme="minorHAnsi" w:hAnsiTheme="minorHAnsi" w:cs="Arial"/>
                <w:color w:val="212121"/>
                <w:sz w:val="22"/>
                <w:szCs w:val="22"/>
              </w:rPr>
              <w:t xml:space="preserve"> </w:t>
            </w:r>
            <w:r w:rsidR="00D50FAC" w:rsidRPr="0037120A">
              <w:rPr>
                <w:rFonts w:asciiTheme="minorHAnsi" w:hAnsiTheme="minorHAnsi" w:cs="Arial"/>
                <w:color w:val="212121"/>
                <w:sz w:val="22"/>
                <w:szCs w:val="22"/>
              </w:rPr>
              <w:t>basé</w:t>
            </w:r>
            <w:r w:rsidR="009D4668" w:rsidRPr="0037120A">
              <w:rPr>
                <w:rFonts w:asciiTheme="minorHAnsi" w:hAnsiTheme="minorHAnsi" w:cs="Arial"/>
                <w:color w:val="212121"/>
                <w:sz w:val="22"/>
                <w:szCs w:val="22"/>
              </w:rPr>
              <w:t>e</w:t>
            </w:r>
            <w:r w:rsidRPr="0037120A">
              <w:rPr>
                <w:rFonts w:asciiTheme="minorHAnsi" w:hAnsiTheme="minorHAnsi" w:cs="Arial"/>
                <w:color w:val="212121"/>
                <w:sz w:val="22"/>
                <w:szCs w:val="22"/>
              </w:rPr>
              <w:t xml:space="preserve"> sur l’épidémiologie locale de la COVID et </w:t>
            </w:r>
            <w:r w:rsidR="008F730B" w:rsidRPr="0037120A">
              <w:rPr>
                <w:rFonts w:asciiTheme="minorHAnsi" w:hAnsiTheme="minorHAnsi" w:cs="Arial"/>
                <w:color w:val="212121"/>
                <w:sz w:val="22"/>
                <w:szCs w:val="22"/>
              </w:rPr>
              <w:t>la présence des conditions pour respecter les recommandations ci-dessous.</w:t>
            </w:r>
            <w:r w:rsidR="00DC0E43" w:rsidRPr="0037120A">
              <w:rPr>
                <w:rFonts w:asciiTheme="minorHAnsi" w:hAnsiTheme="minorHAnsi" w:cs="Arial"/>
                <w:color w:val="212121"/>
                <w:sz w:val="22"/>
                <w:szCs w:val="22"/>
              </w:rPr>
              <w:t xml:space="preserve"> Un arrimage avec le pallier provincial devra également avoir lieu.</w:t>
            </w:r>
          </w:p>
        </w:tc>
      </w:tr>
      <w:tr w:rsidR="009362F0" w:rsidRPr="0037120A" w14:paraId="58B127BE" w14:textId="77777777" w:rsidTr="00CB649B">
        <w:tc>
          <w:tcPr>
            <w:tcW w:w="10837" w:type="dxa"/>
            <w:gridSpan w:val="3"/>
            <w:shd w:val="clear" w:color="auto" w:fill="1C819A"/>
          </w:tcPr>
          <w:p w14:paraId="5B33437E" w14:textId="77777777" w:rsidR="009362F0" w:rsidRPr="0037120A" w:rsidRDefault="009362F0" w:rsidP="0037120A">
            <w:pPr>
              <w:jc w:val="both"/>
              <w:rPr>
                <w:rFonts w:asciiTheme="minorHAnsi" w:hAnsiTheme="minorHAnsi" w:cs="Arial"/>
                <w:b/>
                <w:caps/>
                <w:color w:val="FFFFFF"/>
                <w:sz w:val="22"/>
                <w:szCs w:val="22"/>
              </w:rPr>
            </w:pPr>
            <w:r w:rsidRPr="0037120A">
              <w:rPr>
                <w:rFonts w:asciiTheme="minorHAnsi" w:hAnsiTheme="minorHAnsi" w:cs="Arial"/>
                <w:b/>
                <w:caps/>
                <w:color w:val="FFFFFF"/>
                <w:sz w:val="22"/>
                <w:szCs w:val="22"/>
              </w:rPr>
              <w:t>AVIS</w:t>
            </w:r>
          </w:p>
        </w:tc>
      </w:tr>
      <w:tr w:rsidR="009362F0" w:rsidRPr="0037120A" w14:paraId="5DBD5147" w14:textId="77777777" w:rsidTr="00CB649B">
        <w:tc>
          <w:tcPr>
            <w:tcW w:w="10837" w:type="dxa"/>
            <w:gridSpan w:val="3"/>
            <w:shd w:val="clear" w:color="auto" w:fill="auto"/>
          </w:tcPr>
          <w:p w14:paraId="1F4E7E3D" w14:textId="64ECF632" w:rsidR="009362F0" w:rsidRPr="0037120A" w:rsidRDefault="009362F0" w:rsidP="0037120A">
            <w:pPr>
              <w:tabs>
                <w:tab w:val="left" w:pos="284"/>
              </w:tabs>
              <w:ind w:left="284" w:hanging="284"/>
              <w:jc w:val="both"/>
              <w:rPr>
                <w:rFonts w:asciiTheme="minorHAnsi" w:eastAsiaTheme="minorHAnsi" w:hAnsiTheme="minorHAnsi" w:cs="Arial"/>
                <w:b/>
                <w:sz w:val="22"/>
                <w:szCs w:val="22"/>
                <w:lang w:val="fr-FR" w:eastAsia="en-US"/>
              </w:rPr>
            </w:pPr>
            <w:r w:rsidRPr="0037120A">
              <w:rPr>
                <w:rFonts w:asciiTheme="minorHAnsi" w:eastAsiaTheme="minorHAnsi" w:hAnsiTheme="minorHAnsi" w:cs="Arial"/>
                <w:b/>
                <w:sz w:val="22"/>
                <w:szCs w:val="22"/>
                <w:lang w:val="fr-FR" w:eastAsia="en-US"/>
              </w:rPr>
              <w:t>Afin de permettre l'ouverture</w:t>
            </w:r>
            <w:r w:rsidR="00085708" w:rsidRPr="0037120A">
              <w:rPr>
                <w:rFonts w:asciiTheme="minorHAnsi" w:eastAsiaTheme="minorHAnsi" w:hAnsiTheme="minorHAnsi" w:cs="Arial"/>
                <w:b/>
                <w:sz w:val="22"/>
                <w:szCs w:val="22"/>
                <w:lang w:val="fr-FR" w:eastAsia="en-US"/>
              </w:rPr>
              <w:t xml:space="preserve"> et </w:t>
            </w:r>
            <w:r w:rsidR="00B77B3F">
              <w:rPr>
                <w:rFonts w:asciiTheme="minorHAnsi" w:eastAsiaTheme="minorHAnsi" w:hAnsiTheme="minorHAnsi" w:cs="Arial"/>
                <w:b/>
                <w:sz w:val="22"/>
                <w:szCs w:val="22"/>
                <w:lang w:val="fr-FR" w:eastAsia="en-US"/>
              </w:rPr>
              <w:t>l’</w:t>
            </w:r>
            <w:r w:rsidR="00085708" w:rsidRPr="0037120A">
              <w:rPr>
                <w:rFonts w:asciiTheme="minorHAnsi" w:eastAsiaTheme="minorHAnsi" w:hAnsiTheme="minorHAnsi" w:cs="Arial"/>
                <w:b/>
                <w:sz w:val="22"/>
                <w:szCs w:val="22"/>
                <w:lang w:val="fr-FR" w:eastAsia="en-US"/>
              </w:rPr>
              <w:t>explo</w:t>
            </w:r>
            <w:r w:rsidR="009D4668" w:rsidRPr="0037120A">
              <w:rPr>
                <w:rFonts w:asciiTheme="minorHAnsi" w:eastAsiaTheme="minorHAnsi" w:hAnsiTheme="minorHAnsi" w:cs="Arial"/>
                <w:b/>
                <w:sz w:val="22"/>
                <w:szCs w:val="22"/>
                <w:lang w:val="fr-FR" w:eastAsia="en-US"/>
              </w:rPr>
              <w:t>i</w:t>
            </w:r>
            <w:r w:rsidR="00085708" w:rsidRPr="0037120A">
              <w:rPr>
                <w:rFonts w:asciiTheme="minorHAnsi" w:eastAsiaTheme="minorHAnsi" w:hAnsiTheme="minorHAnsi" w:cs="Arial"/>
                <w:b/>
                <w:sz w:val="22"/>
                <w:szCs w:val="22"/>
                <w:lang w:val="fr-FR" w:eastAsia="en-US"/>
              </w:rPr>
              <w:t>tation</w:t>
            </w:r>
            <w:r w:rsidRPr="0037120A">
              <w:rPr>
                <w:rFonts w:asciiTheme="minorHAnsi" w:eastAsiaTheme="minorHAnsi" w:hAnsiTheme="minorHAnsi" w:cs="Arial"/>
                <w:b/>
                <w:sz w:val="22"/>
                <w:szCs w:val="22"/>
                <w:lang w:val="fr-FR" w:eastAsia="en-US"/>
              </w:rPr>
              <w:t xml:space="preserve"> sécuritaire des espaces de production alimentaire communautaires (jardins communautaires, jardins collectifs ou autre) il est recommandé de</w:t>
            </w:r>
            <w:r w:rsidR="00085708" w:rsidRPr="0037120A">
              <w:rPr>
                <w:rFonts w:asciiTheme="minorHAnsi" w:eastAsiaTheme="minorHAnsi" w:hAnsiTheme="minorHAnsi" w:cs="Arial"/>
                <w:b/>
                <w:sz w:val="22"/>
                <w:szCs w:val="22"/>
                <w:lang w:val="fr-FR" w:eastAsia="en-US"/>
              </w:rPr>
              <w:t> :</w:t>
            </w:r>
            <w:r w:rsidRPr="0037120A">
              <w:rPr>
                <w:rFonts w:asciiTheme="minorHAnsi" w:eastAsiaTheme="minorHAnsi" w:hAnsiTheme="minorHAnsi" w:cs="Arial"/>
                <w:b/>
                <w:sz w:val="22"/>
                <w:szCs w:val="22"/>
                <w:lang w:val="fr-FR" w:eastAsia="en-US"/>
              </w:rPr>
              <w:t xml:space="preserve"> </w:t>
            </w:r>
          </w:p>
          <w:p w14:paraId="214DB850" w14:textId="77777777" w:rsidR="009362F0" w:rsidRPr="0037120A" w:rsidRDefault="009362F0" w:rsidP="0037120A">
            <w:pPr>
              <w:numPr>
                <w:ilvl w:val="0"/>
                <w:numId w:val="2"/>
              </w:numPr>
              <w:tabs>
                <w:tab w:val="left" w:pos="284"/>
              </w:tabs>
              <w:jc w:val="both"/>
              <w:rPr>
                <w:rFonts w:asciiTheme="minorHAnsi" w:eastAsiaTheme="minorHAnsi" w:hAnsiTheme="minorHAnsi" w:cs="Arial"/>
                <w:b/>
                <w:sz w:val="22"/>
                <w:szCs w:val="22"/>
                <w:lang w:val="fr-FR" w:eastAsia="en-US"/>
              </w:rPr>
            </w:pPr>
            <w:r w:rsidRPr="0037120A">
              <w:rPr>
                <w:rFonts w:asciiTheme="minorHAnsi" w:eastAsiaTheme="minorHAnsi" w:hAnsiTheme="minorHAnsi" w:cs="Arial"/>
                <w:sz w:val="22"/>
                <w:szCs w:val="22"/>
                <w:lang w:eastAsia="en-US"/>
              </w:rPr>
              <w:t>Mettre en place des règles pour le déroulement des opérations:</w:t>
            </w:r>
          </w:p>
          <w:p w14:paraId="3DA499D9" w14:textId="77777777" w:rsidR="009362F0" w:rsidRPr="0037120A" w:rsidRDefault="009362F0" w:rsidP="0037120A">
            <w:pPr>
              <w:numPr>
                <w:ilvl w:val="0"/>
                <w:numId w:val="1"/>
              </w:numPr>
              <w:tabs>
                <w:tab w:val="left" w:pos="284"/>
              </w:tabs>
              <w:ind w:left="284" w:hanging="284"/>
              <w:rPr>
                <w:rFonts w:asciiTheme="minorHAnsi" w:eastAsiaTheme="minorHAnsi" w:hAnsiTheme="minorHAnsi" w:cs="Arial"/>
                <w:sz w:val="22"/>
                <w:szCs w:val="22"/>
                <w:lang w:eastAsia="en-US"/>
              </w:rPr>
            </w:pPr>
            <w:r w:rsidRPr="0037120A">
              <w:rPr>
                <w:rFonts w:asciiTheme="minorHAnsi" w:eastAsiaTheme="minorHAnsi" w:hAnsiTheme="minorHAnsi" w:cs="Arial"/>
                <w:sz w:val="22"/>
                <w:szCs w:val="22"/>
                <w:lang w:eastAsia="en-US"/>
              </w:rPr>
              <w:t>Nommer une personne responsable de contrôler les allées et venues des usagers dans les espaces publics.</w:t>
            </w:r>
          </w:p>
          <w:p w14:paraId="6EAEE9EE" w14:textId="77777777" w:rsidR="009362F0"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eastAsia="en-US"/>
              </w:rPr>
            </w:pPr>
            <w:r w:rsidRPr="0037120A">
              <w:rPr>
                <w:rFonts w:asciiTheme="minorHAnsi" w:eastAsiaTheme="minorHAnsi" w:hAnsiTheme="minorHAnsi" w:cs="Arial"/>
                <w:sz w:val="22"/>
                <w:szCs w:val="22"/>
                <w:lang w:eastAsia="en-US"/>
              </w:rPr>
              <w:t xml:space="preserve">Permettre un accès restreint aux personnes autorisées selon un horaire strictement respecté. </w:t>
            </w:r>
          </w:p>
          <w:p w14:paraId="47512FF8" w14:textId="77777777" w:rsidR="009362F0" w:rsidRPr="0037120A" w:rsidRDefault="009362F0" w:rsidP="0037120A">
            <w:pPr>
              <w:numPr>
                <w:ilvl w:val="0"/>
                <w:numId w:val="2"/>
              </w:numPr>
              <w:tabs>
                <w:tab w:val="left" w:pos="284"/>
              </w:tabs>
              <w:jc w:val="both"/>
              <w:rPr>
                <w:rFonts w:asciiTheme="minorHAnsi" w:eastAsiaTheme="minorHAnsi" w:hAnsiTheme="minorHAnsi" w:cs="Arial"/>
                <w:sz w:val="22"/>
                <w:szCs w:val="22"/>
                <w:lang w:val="fr-FR" w:eastAsia="en-US"/>
              </w:rPr>
            </w:pPr>
            <w:r w:rsidRPr="0037120A">
              <w:rPr>
                <w:rFonts w:asciiTheme="minorHAnsi" w:eastAsiaTheme="minorHAnsi" w:hAnsiTheme="minorHAnsi" w:cs="Arial"/>
                <w:sz w:val="22"/>
                <w:szCs w:val="22"/>
                <w:lang w:val="fr-FR" w:eastAsia="en-US"/>
              </w:rPr>
              <w:t>S’assurer de l’application des pratiques de base en prévention par les usagers</w:t>
            </w:r>
            <w:r w:rsidR="00DC0E43" w:rsidRPr="0037120A">
              <w:rPr>
                <w:rFonts w:asciiTheme="minorHAnsi" w:eastAsiaTheme="minorHAnsi" w:hAnsiTheme="minorHAnsi" w:cs="Arial"/>
                <w:sz w:val="22"/>
                <w:szCs w:val="22"/>
                <w:lang w:val="fr-FR" w:eastAsia="en-US"/>
              </w:rPr>
              <w:t>,</w:t>
            </w:r>
            <w:r w:rsidRPr="0037120A">
              <w:rPr>
                <w:rFonts w:asciiTheme="minorHAnsi" w:eastAsiaTheme="minorHAnsi" w:hAnsiTheme="minorHAnsi" w:cs="Arial"/>
                <w:sz w:val="22"/>
                <w:szCs w:val="22"/>
                <w:lang w:val="fr-FR" w:eastAsia="en-US"/>
              </w:rPr>
              <w:t xml:space="preserve"> entre autres : </w:t>
            </w:r>
          </w:p>
          <w:p w14:paraId="10AA1523" w14:textId="77777777" w:rsidR="009362F0"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rFonts w:asciiTheme="minorHAnsi" w:eastAsiaTheme="minorHAnsi" w:hAnsiTheme="minorHAnsi" w:cs="Arial"/>
                <w:sz w:val="22"/>
                <w:szCs w:val="22"/>
                <w:lang w:val="fr-FR" w:eastAsia="en-US"/>
              </w:rPr>
              <w:t>Faire la promotion de l’hygiène des mains en mettant à la disposition des usagers le matériel nécessaire (eau courante, savon, solutions hydroalcooliques, poubelles sans contact, mouchoirs jetables, serviettes ou papier jetable).Faire la promotion de l’étiquette respiratoire (tousser dans son coude replié, ou dans un mouchoir qu’on jette immédiatement après utilisation, puis se laver les mains dès que possible).Appliquer de façon stricte l’exclusion pour les personnes présentant de la toux, de la fièvre, des difficultés respiratoires ou autres symptômes qui pourraient s’ajouter selon le site suivant :</w:t>
            </w:r>
          </w:p>
          <w:p w14:paraId="67F9A399" w14:textId="77777777" w:rsidR="009362F0" w:rsidRPr="0037120A" w:rsidRDefault="004B3EBE" w:rsidP="0037120A">
            <w:pPr>
              <w:ind w:left="568"/>
              <w:jc w:val="both"/>
              <w:rPr>
                <w:rFonts w:asciiTheme="minorHAnsi" w:eastAsiaTheme="minorHAnsi" w:hAnsiTheme="minorHAnsi" w:cs="Arial"/>
                <w:sz w:val="22"/>
                <w:szCs w:val="22"/>
                <w:lang w:val="fr-FR" w:eastAsia="en-US"/>
              </w:rPr>
            </w:pPr>
            <w:hyperlink r:id="rId7" w:anchor="c46790" w:history="1">
              <w:r w:rsidR="009362F0" w:rsidRPr="0037120A">
                <w:rPr>
                  <w:rFonts w:asciiTheme="minorHAnsi" w:eastAsiaTheme="minorHAnsi" w:hAnsiTheme="minorHAnsi" w:cs="Arial"/>
                  <w:color w:val="1C819A"/>
                  <w:sz w:val="22"/>
                  <w:szCs w:val="22"/>
                  <w:u w:val="single"/>
                  <w:lang w:val="fr-FR" w:eastAsia="en-US"/>
                </w:rPr>
                <w:t>https://www.quebec.ca/sante/problemes-de-sante/a-z/coronavirus-2019/reponses-questions-coronaviruscovid19/#c46790</w:t>
              </w:r>
            </w:hyperlink>
          </w:p>
          <w:p w14:paraId="6F061426" w14:textId="5565069F" w:rsidR="009362F0" w:rsidRPr="0037120A" w:rsidRDefault="009362F0" w:rsidP="0037120A">
            <w:pPr>
              <w:numPr>
                <w:ilvl w:val="0"/>
                <w:numId w:val="2"/>
              </w:numPr>
              <w:tabs>
                <w:tab w:val="left" w:pos="284"/>
              </w:tabs>
              <w:jc w:val="both"/>
              <w:rPr>
                <w:rFonts w:asciiTheme="minorHAnsi" w:eastAsiaTheme="minorHAnsi" w:hAnsiTheme="minorHAnsi" w:cs="Arial"/>
                <w:sz w:val="22"/>
                <w:szCs w:val="22"/>
                <w:lang w:val="fr-FR" w:eastAsia="en-US"/>
              </w:rPr>
            </w:pPr>
            <w:r w:rsidRPr="0037120A">
              <w:rPr>
                <w:rFonts w:asciiTheme="minorHAnsi" w:eastAsiaTheme="minorHAnsi" w:hAnsiTheme="minorHAnsi" w:cs="Arial"/>
                <w:sz w:val="22"/>
                <w:szCs w:val="22"/>
                <w:lang w:val="fr-FR" w:eastAsia="en-US"/>
              </w:rPr>
              <w:t xml:space="preserve">Favoriser des mesures de distanciation </w:t>
            </w:r>
            <w:r w:rsidR="00DC0E43" w:rsidRPr="0037120A">
              <w:rPr>
                <w:rFonts w:asciiTheme="minorHAnsi" w:eastAsiaTheme="minorHAnsi" w:hAnsiTheme="minorHAnsi" w:cs="Arial"/>
                <w:sz w:val="22"/>
                <w:szCs w:val="22"/>
                <w:lang w:val="fr-FR" w:eastAsia="en-US"/>
              </w:rPr>
              <w:t>physique</w:t>
            </w:r>
            <w:r w:rsidRPr="0037120A">
              <w:rPr>
                <w:rFonts w:asciiTheme="minorHAnsi" w:eastAsiaTheme="minorHAnsi" w:hAnsiTheme="minorHAnsi" w:cs="Arial"/>
                <w:sz w:val="22"/>
                <w:szCs w:val="22"/>
                <w:lang w:val="fr-FR" w:eastAsia="en-US"/>
              </w:rPr>
              <w:t xml:space="preserve"> :</w:t>
            </w:r>
          </w:p>
          <w:p w14:paraId="573FE167" w14:textId="77777777" w:rsidR="00DC0E43"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rFonts w:asciiTheme="minorHAnsi" w:eastAsiaTheme="minorHAnsi" w:hAnsiTheme="minorHAnsi" w:cs="Arial"/>
                <w:sz w:val="22"/>
                <w:szCs w:val="22"/>
                <w:lang w:val="fr-FR" w:eastAsia="en-US"/>
              </w:rPr>
              <w:t>Éviter tout contact physique (ex. : poignées de mains, accolades, etc.)</w:t>
            </w:r>
            <w:r w:rsidR="00DC0E43" w:rsidRPr="0037120A">
              <w:rPr>
                <w:rFonts w:asciiTheme="minorHAnsi" w:eastAsiaTheme="minorHAnsi" w:hAnsiTheme="minorHAnsi" w:cs="Arial"/>
                <w:sz w:val="22"/>
                <w:szCs w:val="22"/>
                <w:lang w:val="fr-FR" w:eastAsia="en-US"/>
              </w:rPr>
              <w:t>.</w:t>
            </w:r>
          </w:p>
          <w:p w14:paraId="48B6FFF6" w14:textId="77777777" w:rsidR="00DC0E43"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rFonts w:asciiTheme="minorHAnsi" w:eastAsiaTheme="minorHAnsi" w:hAnsiTheme="minorHAnsi" w:cs="Arial"/>
                <w:sz w:val="22"/>
                <w:szCs w:val="22"/>
                <w:lang w:val="fr-FR" w:eastAsia="en-US"/>
              </w:rPr>
              <w:lastRenderedPageBreak/>
              <w:t xml:space="preserve">Respecter une distance de 2 mètres entre les individus. </w:t>
            </w:r>
          </w:p>
          <w:p w14:paraId="2F866E83" w14:textId="77777777" w:rsidR="009D4668"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rFonts w:asciiTheme="minorHAnsi" w:eastAsiaTheme="minorHAnsi" w:hAnsiTheme="minorHAnsi" w:cs="Arial"/>
                <w:sz w:val="22"/>
                <w:szCs w:val="22"/>
                <w:lang w:val="fr-FR" w:eastAsia="en-US"/>
              </w:rPr>
              <w:t>Éviter les rassemblements de personnes (ex. : lors de réunions ou pauses)</w:t>
            </w:r>
            <w:r w:rsidR="009D4668" w:rsidRPr="0037120A">
              <w:rPr>
                <w:rFonts w:asciiTheme="minorHAnsi" w:eastAsiaTheme="minorHAnsi" w:hAnsiTheme="minorHAnsi" w:cs="Arial"/>
                <w:sz w:val="22"/>
                <w:szCs w:val="22"/>
                <w:lang w:val="fr-FR" w:eastAsia="en-US"/>
              </w:rPr>
              <w:t>.</w:t>
            </w:r>
          </w:p>
          <w:p w14:paraId="534A71E1" w14:textId="77777777" w:rsidR="009D4668"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rFonts w:asciiTheme="minorHAnsi" w:eastAsiaTheme="minorHAnsi" w:hAnsiTheme="minorHAnsi" w:cs="Arial"/>
                <w:sz w:val="22"/>
                <w:szCs w:val="22"/>
                <w:lang w:val="fr-FR" w:eastAsia="en-US"/>
              </w:rPr>
              <w:t>Éviter de partager du matériel et des équipements (ex. : matériel de construction, outils de jardinage,</w:t>
            </w:r>
            <w:r w:rsidR="00085708" w:rsidRPr="0037120A">
              <w:rPr>
                <w:rFonts w:asciiTheme="minorHAnsi" w:eastAsiaTheme="minorHAnsi" w:hAnsiTheme="minorHAnsi" w:cs="Arial"/>
                <w:sz w:val="22"/>
                <w:szCs w:val="22"/>
                <w:lang w:val="fr-FR" w:eastAsia="en-US"/>
              </w:rPr>
              <w:t xml:space="preserve"> </w:t>
            </w:r>
            <w:r w:rsidRPr="0037120A">
              <w:rPr>
                <w:rFonts w:asciiTheme="minorHAnsi" w:eastAsiaTheme="minorHAnsi" w:hAnsiTheme="minorHAnsi" w:cs="Arial"/>
                <w:sz w:val="22"/>
                <w:szCs w:val="22"/>
                <w:lang w:val="fr-FR" w:eastAsia="en-US"/>
              </w:rPr>
              <w:t>etc.)</w:t>
            </w:r>
          </w:p>
          <w:p w14:paraId="69FF99DB" w14:textId="77777777" w:rsidR="009362F0"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rFonts w:asciiTheme="minorHAnsi" w:eastAsiaTheme="minorHAnsi" w:hAnsiTheme="minorHAnsi" w:cs="Arial"/>
                <w:sz w:val="22"/>
                <w:szCs w:val="22"/>
                <w:lang w:val="fr-FR" w:eastAsia="en-US"/>
              </w:rPr>
              <w:t>Déposer tous les objets et aliments sur une surface propre en respectant la distance de 2 mètres entre les individus.</w:t>
            </w:r>
          </w:p>
          <w:p w14:paraId="0DBE4D97" w14:textId="77777777" w:rsidR="009362F0" w:rsidRPr="0037120A" w:rsidRDefault="009362F0" w:rsidP="0037120A">
            <w:pPr>
              <w:numPr>
                <w:ilvl w:val="0"/>
                <w:numId w:val="2"/>
              </w:numPr>
              <w:tabs>
                <w:tab w:val="left" w:pos="284"/>
              </w:tabs>
              <w:jc w:val="both"/>
              <w:rPr>
                <w:rFonts w:asciiTheme="minorHAnsi" w:eastAsiaTheme="minorHAnsi" w:hAnsiTheme="minorHAnsi" w:cs="Arial"/>
                <w:sz w:val="22"/>
                <w:szCs w:val="22"/>
                <w:lang w:val="fr-FR" w:eastAsia="en-US"/>
              </w:rPr>
            </w:pPr>
            <w:r w:rsidRPr="0037120A">
              <w:rPr>
                <w:rFonts w:asciiTheme="minorHAnsi" w:eastAsiaTheme="minorHAnsi" w:hAnsiTheme="minorHAnsi" w:cs="Arial"/>
                <w:sz w:val="22"/>
                <w:szCs w:val="22"/>
                <w:lang w:val="fr-FR" w:eastAsia="en-US"/>
              </w:rPr>
              <w:t>Hygiène :</w:t>
            </w:r>
          </w:p>
          <w:p w14:paraId="58B343F7" w14:textId="77777777" w:rsidR="009D4668" w:rsidRPr="00D93BA7" w:rsidRDefault="009362F0" w:rsidP="0037120A">
            <w:pPr>
              <w:numPr>
                <w:ilvl w:val="0"/>
                <w:numId w:val="1"/>
              </w:numPr>
              <w:tabs>
                <w:tab w:val="left" w:pos="284"/>
              </w:tabs>
              <w:ind w:left="284" w:hanging="284"/>
              <w:jc w:val="both"/>
              <w:rPr>
                <w:rFonts w:ascii="Calibri" w:eastAsiaTheme="minorHAnsi" w:hAnsi="Calibri" w:cs="Calibri"/>
                <w:sz w:val="22"/>
                <w:szCs w:val="22"/>
                <w:lang w:val="fr-FR" w:eastAsia="en-US"/>
              </w:rPr>
            </w:pPr>
            <w:r w:rsidRPr="0037120A">
              <w:rPr>
                <w:rFonts w:asciiTheme="minorHAnsi" w:eastAsiaTheme="minorHAnsi" w:hAnsiTheme="minorHAnsi" w:cs="Arial"/>
                <w:sz w:val="22"/>
                <w:szCs w:val="22"/>
                <w:lang w:val="fr-FR" w:eastAsia="en-US"/>
              </w:rPr>
              <w:t>Au début et à la fin de chaque période de travail ou lors de tout changement d’utilisateur, procéder au nettoyage et à la désinfection des matériaux e</w:t>
            </w:r>
            <w:r w:rsidRPr="00D93BA7">
              <w:rPr>
                <w:rFonts w:ascii="Calibri" w:eastAsiaTheme="minorHAnsi" w:hAnsi="Calibri" w:cs="Calibri"/>
                <w:sz w:val="22"/>
                <w:szCs w:val="22"/>
                <w:lang w:val="fr-FR" w:eastAsia="en-US"/>
              </w:rPr>
              <w:t>t des outils.</w:t>
            </w:r>
          </w:p>
          <w:p w14:paraId="1FE5DBAF" w14:textId="3078A267" w:rsidR="00D93BA7" w:rsidRPr="00D93BA7" w:rsidRDefault="009362F0" w:rsidP="00D93BA7">
            <w:pPr>
              <w:rPr>
                <w:rFonts w:ascii="Calibri" w:hAnsi="Calibri" w:cs="Calibri"/>
                <w:sz w:val="22"/>
                <w:szCs w:val="22"/>
              </w:rPr>
            </w:pPr>
            <w:r w:rsidRPr="00D93BA7">
              <w:rPr>
                <w:rFonts w:ascii="Calibri" w:eastAsiaTheme="minorHAnsi" w:hAnsi="Calibri" w:cs="Calibri"/>
                <w:sz w:val="22"/>
                <w:szCs w:val="22"/>
                <w:lang w:val="fr-FR" w:eastAsia="en-US"/>
              </w:rPr>
              <w:t>Nettoyer l’espace de travail et d’entreposage, les surfaces fréquemment touchées, les espaces communs (tables à pique-nique, comptoirs, accessoires, etc.)</w:t>
            </w:r>
            <w:r w:rsidR="00D93BA7" w:rsidRPr="00D93BA7">
              <w:rPr>
                <w:rFonts w:ascii="Calibri" w:eastAsiaTheme="minorHAnsi" w:hAnsi="Calibri" w:cs="Calibri"/>
                <w:sz w:val="22"/>
                <w:szCs w:val="22"/>
                <w:lang w:val="fr-FR" w:eastAsia="en-US"/>
              </w:rPr>
              <w:t xml:space="preserve">. Une fiche a été produite par l’INSPQ concernant les procédures de nettoyage : </w:t>
            </w:r>
            <w:hyperlink r:id="rId8" w:history="1">
              <w:r w:rsidR="00D93BA7" w:rsidRPr="00D93BA7">
                <w:rPr>
                  <w:rStyle w:val="Hyperlink"/>
                  <w:rFonts w:ascii="Calibri" w:hAnsi="Calibri" w:cs="Calibri"/>
                  <w:sz w:val="22"/>
                  <w:szCs w:val="22"/>
                </w:rPr>
                <w:t>https://www.inspq.qc.ca/covid-19/environnement/nettoyage-surfaces</w:t>
              </w:r>
            </w:hyperlink>
          </w:p>
          <w:p w14:paraId="704337B7" w14:textId="31871E47" w:rsidR="009362F0" w:rsidRPr="0037120A" w:rsidRDefault="009362F0" w:rsidP="00D93BA7">
            <w:pPr>
              <w:tabs>
                <w:tab w:val="left" w:pos="284"/>
              </w:tabs>
              <w:jc w:val="both"/>
              <w:rPr>
                <w:rFonts w:asciiTheme="minorHAnsi" w:eastAsiaTheme="minorHAnsi" w:hAnsiTheme="minorHAnsi" w:cs="Arial"/>
                <w:sz w:val="22"/>
                <w:szCs w:val="22"/>
                <w:lang w:val="fr-FR" w:eastAsia="en-US"/>
              </w:rPr>
            </w:pPr>
          </w:p>
        </w:tc>
      </w:tr>
      <w:tr w:rsidR="009362F0" w:rsidRPr="0037120A" w14:paraId="3F6A7AF8" w14:textId="77777777" w:rsidTr="00CB649B">
        <w:tc>
          <w:tcPr>
            <w:tcW w:w="10837" w:type="dxa"/>
            <w:gridSpan w:val="3"/>
            <w:shd w:val="clear" w:color="auto" w:fill="1C819A"/>
          </w:tcPr>
          <w:p w14:paraId="42E3FCEA" w14:textId="77777777" w:rsidR="009362F0" w:rsidRPr="0037120A" w:rsidRDefault="009362F0" w:rsidP="0037120A">
            <w:pPr>
              <w:jc w:val="center"/>
              <w:rPr>
                <w:rFonts w:ascii="Arial" w:hAnsi="Arial" w:cs="Arial"/>
                <w:b/>
                <w:color w:val="FFFFFF"/>
                <w:sz w:val="22"/>
                <w:szCs w:val="22"/>
              </w:rPr>
            </w:pPr>
            <w:r w:rsidRPr="0037120A">
              <w:rPr>
                <w:rFonts w:ascii="Arial" w:hAnsi="Arial" w:cs="Arial"/>
                <w:b/>
                <w:color w:val="FFFFFF"/>
                <w:sz w:val="22"/>
                <w:szCs w:val="22"/>
              </w:rPr>
              <w:lastRenderedPageBreak/>
              <w:t>RÉFÉRENCES</w:t>
            </w:r>
          </w:p>
        </w:tc>
      </w:tr>
      <w:tr w:rsidR="009362F0" w:rsidRPr="0037120A" w14:paraId="78ACF9D9" w14:textId="77777777" w:rsidTr="00CB649B">
        <w:tc>
          <w:tcPr>
            <w:tcW w:w="10837" w:type="dxa"/>
            <w:gridSpan w:val="3"/>
            <w:shd w:val="clear" w:color="auto" w:fill="auto"/>
          </w:tcPr>
          <w:p w14:paraId="72FC4D63" w14:textId="26AC2C4F" w:rsidR="00D50FAC" w:rsidRPr="0037120A" w:rsidRDefault="00D50FAC" w:rsidP="0037120A">
            <w:pPr>
              <w:jc w:val="both"/>
              <w:rPr>
                <w:rFonts w:asciiTheme="minorHAnsi" w:eastAsiaTheme="minorHAnsi" w:hAnsiTheme="minorHAnsi" w:cs="Arial"/>
                <w:sz w:val="22"/>
                <w:szCs w:val="22"/>
                <w:lang w:val="fr-FR" w:eastAsia="fr-FR"/>
              </w:rPr>
            </w:pPr>
            <w:r w:rsidRPr="0037120A">
              <w:rPr>
                <w:rFonts w:asciiTheme="minorHAnsi" w:eastAsiaTheme="minorHAnsi" w:hAnsiTheme="minorHAnsi" w:cs="Arial"/>
                <w:sz w:val="22"/>
                <w:szCs w:val="22"/>
                <w:lang w:val="fr-FR" w:eastAsia="fr-FR"/>
              </w:rPr>
              <w:t>Pour plus d’information sur le COVID-19 et les milieux agricoles, les sites suivants peuvent être très utiles :</w:t>
            </w:r>
          </w:p>
          <w:p w14:paraId="5431D23D" w14:textId="77777777" w:rsidR="00D50FAC" w:rsidRPr="0037120A" w:rsidRDefault="00D50FAC" w:rsidP="0037120A">
            <w:pPr>
              <w:pStyle w:val="ListParagraph"/>
              <w:numPr>
                <w:ilvl w:val="0"/>
                <w:numId w:val="3"/>
              </w:numPr>
              <w:jc w:val="both"/>
              <w:rPr>
                <w:rFonts w:asciiTheme="minorHAnsi" w:eastAsiaTheme="minorHAnsi" w:hAnsiTheme="minorHAnsi" w:cs="Arial"/>
                <w:sz w:val="22"/>
                <w:szCs w:val="22"/>
                <w:lang w:val="fr-FR" w:eastAsia="fr-FR"/>
              </w:rPr>
            </w:pPr>
            <w:r w:rsidRPr="0037120A">
              <w:rPr>
                <w:rFonts w:asciiTheme="minorHAnsi" w:eastAsiaTheme="minorHAnsi" w:hAnsiTheme="minorHAnsi" w:cs="Arial"/>
                <w:sz w:val="22"/>
                <w:szCs w:val="22"/>
                <w:lang w:val="fr-FR" w:eastAsia="fr-FR"/>
              </w:rPr>
              <w:t>Recommandations intérimaires de l’INSPQ à l’intention des travailleurs agricoles en production maraîchères et animales</w:t>
            </w:r>
          </w:p>
          <w:p w14:paraId="165B50FE" w14:textId="77777777" w:rsidR="00D50FAC" w:rsidRPr="0037120A" w:rsidRDefault="00D50FAC" w:rsidP="0037120A">
            <w:pPr>
              <w:pStyle w:val="ListParagraph"/>
              <w:jc w:val="both"/>
              <w:rPr>
                <w:rFonts w:asciiTheme="minorHAnsi" w:eastAsiaTheme="minorHAnsi" w:hAnsiTheme="minorHAnsi" w:cs="Arial"/>
                <w:sz w:val="22"/>
                <w:szCs w:val="22"/>
                <w:lang w:val="fr-FR" w:eastAsia="fr-FR"/>
              </w:rPr>
            </w:pPr>
            <w:r w:rsidRPr="0037120A">
              <w:rPr>
                <w:rFonts w:asciiTheme="minorHAnsi" w:eastAsiaTheme="minorHAnsi" w:hAnsiTheme="minorHAnsi" w:cs="Arial"/>
                <w:sz w:val="22"/>
                <w:szCs w:val="22"/>
                <w:lang w:val="fr-FR" w:eastAsia="fr-FR"/>
              </w:rPr>
              <w:t xml:space="preserve"> </w:t>
            </w:r>
            <w:hyperlink r:id="rId9" w:history="1">
              <w:r w:rsidRPr="0037120A">
                <w:rPr>
                  <w:rStyle w:val="Hyperlink"/>
                  <w:rFonts w:asciiTheme="minorHAnsi" w:eastAsiaTheme="minorHAnsi" w:hAnsiTheme="minorHAnsi" w:cs="Arial"/>
                  <w:sz w:val="22"/>
                  <w:szCs w:val="22"/>
                  <w:lang w:val="fr-FR" w:eastAsia="fr-FR"/>
                </w:rPr>
                <w:t>https://www.inspq.qc.ca/sites/default/files/covid/2947-travailleurs-agricoles-covid19.pdf</w:t>
              </w:r>
            </w:hyperlink>
          </w:p>
          <w:p w14:paraId="483EEA27" w14:textId="077F0EC4" w:rsidR="00D50FAC" w:rsidRPr="0037120A" w:rsidRDefault="00D50FAC" w:rsidP="0037120A">
            <w:pPr>
              <w:pStyle w:val="ListParagraph"/>
              <w:numPr>
                <w:ilvl w:val="0"/>
                <w:numId w:val="3"/>
              </w:numPr>
              <w:jc w:val="both"/>
              <w:rPr>
                <w:rFonts w:asciiTheme="minorHAnsi" w:eastAsiaTheme="minorHAnsi" w:hAnsiTheme="minorHAnsi" w:cs="Arial"/>
                <w:sz w:val="22"/>
                <w:szCs w:val="22"/>
                <w:lang w:val="fr-FR" w:eastAsia="fr-FR"/>
              </w:rPr>
            </w:pPr>
            <w:r w:rsidRPr="0037120A">
              <w:rPr>
                <w:rFonts w:asciiTheme="minorHAnsi" w:eastAsiaTheme="minorHAnsi" w:hAnsiTheme="minorHAnsi" w:cs="Arial"/>
                <w:sz w:val="22"/>
                <w:szCs w:val="22"/>
                <w:lang w:val="fr-FR" w:eastAsia="fr-FR"/>
              </w:rPr>
              <w:t>Document questions réponses COVID-19 du MAPAQ disponible au :</w:t>
            </w:r>
          </w:p>
          <w:p w14:paraId="30A9B7C1" w14:textId="77777777" w:rsidR="00D50FAC" w:rsidRPr="0037120A" w:rsidRDefault="004B3EBE" w:rsidP="0037120A">
            <w:pPr>
              <w:ind w:left="720" w:hanging="360"/>
              <w:jc w:val="both"/>
              <w:rPr>
                <w:rFonts w:asciiTheme="minorHAnsi" w:eastAsiaTheme="minorHAnsi" w:hAnsiTheme="minorHAnsi" w:cs="Arial"/>
                <w:sz w:val="22"/>
                <w:szCs w:val="22"/>
                <w:lang w:val="fr-FR" w:eastAsia="fr-FR"/>
              </w:rPr>
            </w:pPr>
            <w:hyperlink r:id="rId10" w:history="1">
              <w:r w:rsidR="00D50FAC" w:rsidRPr="0037120A">
                <w:rPr>
                  <w:rFonts w:asciiTheme="minorHAnsi" w:eastAsiaTheme="minorHAnsi" w:hAnsiTheme="minorHAnsi" w:cs="Arial"/>
                  <w:color w:val="1C819A"/>
                  <w:sz w:val="22"/>
                  <w:szCs w:val="22"/>
                  <w:u w:val="single"/>
                  <w:lang w:val="fr-FR" w:eastAsia="fr-FR"/>
                </w:rPr>
                <w:t>https://www.mapaq.gouv.qc.ca/fr/Avis_Publicite/Pages/COVID-19_QuestionsReponses.aspx</w:t>
              </w:r>
            </w:hyperlink>
          </w:p>
          <w:p w14:paraId="79FB3BEE" w14:textId="5AC0468B" w:rsidR="00D50FAC" w:rsidRPr="0037120A" w:rsidRDefault="00D50FAC" w:rsidP="0037120A">
            <w:pPr>
              <w:pStyle w:val="ListParagraph"/>
              <w:numPr>
                <w:ilvl w:val="0"/>
                <w:numId w:val="3"/>
              </w:numPr>
              <w:jc w:val="both"/>
              <w:rPr>
                <w:rFonts w:asciiTheme="minorHAnsi" w:eastAsiaTheme="minorHAnsi" w:hAnsiTheme="minorHAnsi" w:cs="Arial"/>
                <w:sz w:val="22"/>
                <w:szCs w:val="22"/>
                <w:lang w:val="fr-FR" w:eastAsia="fr-FR"/>
              </w:rPr>
            </w:pPr>
            <w:r w:rsidRPr="0037120A">
              <w:rPr>
                <w:rFonts w:asciiTheme="minorHAnsi" w:eastAsiaTheme="minorHAnsi" w:hAnsiTheme="minorHAnsi" w:cs="Arial"/>
                <w:sz w:val="22"/>
                <w:szCs w:val="22"/>
                <w:lang w:val="fr-FR" w:eastAsia="fr-FR"/>
              </w:rPr>
              <w:t>Document pour l’industrie produit par Agriculture et Agroalimentaire Canada disponible au</w:t>
            </w:r>
          </w:p>
          <w:p w14:paraId="36370AFA" w14:textId="77777777" w:rsidR="009362F0" w:rsidRPr="0037120A" w:rsidRDefault="004B3EBE" w:rsidP="0037120A">
            <w:pPr>
              <w:pStyle w:val="ListParagraph"/>
              <w:ind w:left="0"/>
              <w:contextualSpacing/>
              <w:rPr>
                <w:rFonts w:ascii="Arial" w:hAnsi="Arial" w:cs="Arial"/>
                <w:sz w:val="22"/>
                <w:szCs w:val="22"/>
              </w:rPr>
            </w:pPr>
            <w:hyperlink r:id="rId11" w:history="1">
              <w:r w:rsidR="00D50FAC" w:rsidRPr="0037120A">
                <w:rPr>
                  <w:rFonts w:asciiTheme="minorHAnsi" w:eastAsiaTheme="minorHAnsi" w:hAnsiTheme="minorHAnsi" w:cs="Arial"/>
                  <w:color w:val="1C819A"/>
                  <w:sz w:val="22"/>
                  <w:szCs w:val="22"/>
                  <w:u w:val="single"/>
                  <w:lang w:val="fr-FR" w:eastAsia="fr-FR"/>
                </w:rPr>
                <w:t>http://www.agr.gc.ca/fra/maladie-a-coronavirus-covid-19-information-pour-lindustrie/?id=1584732749543</w:t>
              </w:r>
            </w:hyperlink>
          </w:p>
        </w:tc>
      </w:tr>
      <w:tr w:rsidR="009362F0" w:rsidRPr="0037120A" w14:paraId="7910D41B" w14:textId="77777777" w:rsidTr="00CB649B">
        <w:trPr>
          <w:trHeight w:val="370"/>
        </w:trPr>
        <w:tc>
          <w:tcPr>
            <w:tcW w:w="1565" w:type="dxa"/>
            <w:shd w:val="clear" w:color="auto" w:fill="auto"/>
            <w:vAlign w:val="center"/>
          </w:tcPr>
          <w:p w14:paraId="1EFA02A7" w14:textId="77777777" w:rsidR="009362F0" w:rsidRPr="0037120A" w:rsidRDefault="009362F0" w:rsidP="0037120A">
            <w:pPr>
              <w:rPr>
                <w:rFonts w:ascii="Calibri" w:hAnsi="Calibri"/>
                <w:sz w:val="22"/>
                <w:szCs w:val="22"/>
              </w:rPr>
            </w:pPr>
            <w:r w:rsidRPr="0037120A">
              <w:rPr>
                <w:rFonts w:ascii="Calibri" w:hAnsi="Calibri"/>
                <w:sz w:val="22"/>
                <w:szCs w:val="22"/>
              </w:rPr>
              <w:t>Rédaction :</w:t>
            </w:r>
          </w:p>
        </w:tc>
        <w:tc>
          <w:tcPr>
            <w:tcW w:w="9272" w:type="dxa"/>
            <w:gridSpan w:val="2"/>
            <w:shd w:val="clear" w:color="auto" w:fill="auto"/>
            <w:vAlign w:val="center"/>
          </w:tcPr>
          <w:p w14:paraId="78448E37" w14:textId="33760F9E" w:rsidR="009362F0" w:rsidRPr="0037120A" w:rsidRDefault="009D4668" w:rsidP="0037120A">
            <w:pPr>
              <w:rPr>
                <w:rFonts w:ascii="Arial" w:hAnsi="Arial" w:cs="Arial"/>
                <w:sz w:val="22"/>
                <w:szCs w:val="22"/>
              </w:rPr>
            </w:pPr>
            <w:r w:rsidRPr="0037120A">
              <w:rPr>
                <w:rFonts w:ascii="Arial" w:hAnsi="Arial" w:cs="Arial"/>
                <w:sz w:val="22"/>
                <w:szCs w:val="22"/>
              </w:rPr>
              <w:t xml:space="preserve">Vladimir Gilca, France Bouchard, Marilou Kiely et Chantal Sauvageau pour le </w:t>
            </w:r>
            <w:r w:rsidR="00DC0E43" w:rsidRPr="0037120A">
              <w:rPr>
                <w:rFonts w:ascii="Arial" w:hAnsi="Arial" w:cs="Arial"/>
                <w:sz w:val="22"/>
                <w:szCs w:val="22"/>
              </w:rPr>
              <w:t>comité</w:t>
            </w:r>
            <w:r w:rsidRPr="0037120A">
              <w:rPr>
                <w:rFonts w:ascii="Arial" w:hAnsi="Arial" w:cs="Arial"/>
                <w:sz w:val="22"/>
                <w:szCs w:val="22"/>
              </w:rPr>
              <w:t xml:space="preserve"> su</w:t>
            </w:r>
            <w:r w:rsidR="003A3B52">
              <w:rPr>
                <w:rFonts w:ascii="Arial" w:hAnsi="Arial" w:cs="Arial"/>
                <w:sz w:val="22"/>
                <w:szCs w:val="22"/>
              </w:rPr>
              <w:t xml:space="preserve">r les mesures populationnelles avec la collaboration des équipes en environnement et en santé au travail. </w:t>
            </w:r>
          </w:p>
        </w:tc>
      </w:tr>
      <w:tr w:rsidR="009362F0" w:rsidRPr="0037120A" w14:paraId="49467BF8" w14:textId="77777777" w:rsidTr="00CB649B">
        <w:trPr>
          <w:trHeight w:val="370"/>
        </w:trPr>
        <w:tc>
          <w:tcPr>
            <w:tcW w:w="1565" w:type="dxa"/>
            <w:shd w:val="clear" w:color="auto" w:fill="auto"/>
            <w:vAlign w:val="center"/>
          </w:tcPr>
          <w:p w14:paraId="15A60107" w14:textId="77777777" w:rsidR="009362F0" w:rsidRPr="0037120A" w:rsidRDefault="009362F0" w:rsidP="0037120A">
            <w:pPr>
              <w:rPr>
                <w:rFonts w:ascii="Calibri" w:hAnsi="Calibri"/>
                <w:sz w:val="22"/>
                <w:szCs w:val="22"/>
              </w:rPr>
            </w:pPr>
            <w:r w:rsidRPr="0037120A">
              <w:rPr>
                <w:rFonts w:ascii="Calibri" w:hAnsi="Calibri"/>
                <w:sz w:val="22"/>
                <w:szCs w:val="22"/>
              </w:rPr>
              <w:t>Approbation :</w:t>
            </w:r>
          </w:p>
        </w:tc>
        <w:tc>
          <w:tcPr>
            <w:tcW w:w="9272" w:type="dxa"/>
            <w:gridSpan w:val="2"/>
            <w:shd w:val="clear" w:color="auto" w:fill="auto"/>
            <w:vAlign w:val="center"/>
          </w:tcPr>
          <w:p w14:paraId="1C822EB4" w14:textId="77777777" w:rsidR="009362F0" w:rsidRPr="0037120A" w:rsidRDefault="009362F0" w:rsidP="0037120A">
            <w:pPr>
              <w:rPr>
                <w:rFonts w:ascii="Arial" w:hAnsi="Arial" w:cs="Arial"/>
                <w:sz w:val="22"/>
                <w:szCs w:val="22"/>
              </w:rPr>
            </w:pPr>
          </w:p>
        </w:tc>
      </w:tr>
    </w:tbl>
    <w:p w14:paraId="300EA4FF" w14:textId="77777777" w:rsidR="009362F0" w:rsidRDefault="009362F0" w:rsidP="0037120A">
      <w:pPr>
        <w:rPr>
          <w:rFonts w:ascii="Arial Narrow" w:hAnsi="Arial Narrow"/>
          <w:sz w:val="20"/>
          <w:szCs w:val="20"/>
        </w:rPr>
      </w:pPr>
    </w:p>
    <w:p w14:paraId="3CDCA48D" w14:textId="77777777" w:rsidR="002F6CF2" w:rsidRDefault="009362F0" w:rsidP="0037120A">
      <w:r>
        <w:rPr>
          <w:rFonts w:ascii="Arial Narrow" w:hAnsi="Arial Narrow"/>
          <w:sz w:val="20"/>
          <w:szCs w:val="20"/>
        </w:rPr>
        <w:t>À noter que cet avis porte sur les évidences scientifiques disponibles en date dudit avis.</w:t>
      </w:r>
    </w:p>
    <w:sectPr w:rsidR="002F6CF2" w:rsidSect="00745F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C8C"/>
    <w:multiLevelType w:val="hybridMultilevel"/>
    <w:tmpl w:val="D4240C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D9382A"/>
    <w:multiLevelType w:val="hybridMultilevel"/>
    <w:tmpl w:val="E18C3C6C"/>
    <w:lvl w:ilvl="0" w:tplc="0C0C0011">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DA43E99"/>
    <w:multiLevelType w:val="hybridMultilevel"/>
    <w:tmpl w:val="74960DBC"/>
    <w:lvl w:ilvl="0" w:tplc="E8162A9C">
      <w:start w:val="1"/>
      <w:numFmt w:val="bullet"/>
      <w:lvlText w:val=""/>
      <w:lvlJc w:val="left"/>
      <w:pPr>
        <w:ind w:left="2140" w:hanging="360"/>
      </w:pPr>
      <w:rPr>
        <w:rFonts w:ascii="Wingdings" w:hAnsi="Wingdings" w:hint="default"/>
        <w:color w:val="EF7516"/>
        <w:sz w:val="22"/>
        <w:u w:color="70AD47" w:themeColor="accent6"/>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E8"/>
    <w:rsid w:val="00012959"/>
    <w:rsid w:val="00085708"/>
    <w:rsid w:val="003325B2"/>
    <w:rsid w:val="0037120A"/>
    <w:rsid w:val="003A3B52"/>
    <w:rsid w:val="004B3EBE"/>
    <w:rsid w:val="004D678A"/>
    <w:rsid w:val="00613D30"/>
    <w:rsid w:val="00676245"/>
    <w:rsid w:val="008E5BCC"/>
    <w:rsid w:val="008F730B"/>
    <w:rsid w:val="009362F0"/>
    <w:rsid w:val="009A7718"/>
    <w:rsid w:val="009D4668"/>
    <w:rsid w:val="00A24092"/>
    <w:rsid w:val="00A25AB6"/>
    <w:rsid w:val="00AB31E8"/>
    <w:rsid w:val="00B77B3F"/>
    <w:rsid w:val="00D50FAC"/>
    <w:rsid w:val="00D93BA7"/>
    <w:rsid w:val="00DA5A5D"/>
    <w:rsid w:val="00DC0E43"/>
    <w:rsid w:val="00DE0A49"/>
    <w:rsid w:val="00F40A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41CD"/>
  <w15:docId w15:val="{8CACAEA8-3764-4210-84F9-665A912A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0"/>
    <w:pPr>
      <w:spacing w:after="0" w:line="240" w:lineRule="auto"/>
    </w:pPr>
    <w:rPr>
      <w:rFonts w:ascii="Times New Roman" w:eastAsia="Times New Roman" w:hAnsi="Times New Roman" w:cs="Times New Roman"/>
      <w:sz w:val="24"/>
      <w:szCs w:val="24"/>
      <w:lang w:eastAsia="fr-CA"/>
    </w:rPr>
  </w:style>
  <w:style w:type="paragraph" w:styleId="Heading1">
    <w:name w:val="heading 1"/>
    <w:basedOn w:val="Normal"/>
    <w:next w:val="Normal"/>
    <w:link w:val="Heading1Char"/>
    <w:uiPriority w:val="9"/>
    <w:rsid w:val="009362F0"/>
    <w:pPr>
      <w:keepNext/>
      <w:keepLines/>
      <w:tabs>
        <w:tab w:val="num" w:pos="709"/>
      </w:tabs>
      <w:spacing w:after="240"/>
      <w:ind w:left="709" w:hanging="709"/>
      <w:outlineLvl w:val="0"/>
    </w:pPr>
    <w:rPr>
      <w:rFonts w:ascii="HelveticaNeueLT Std" w:hAnsi="HelveticaNeueLT Std"/>
      <w:b/>
      <w:bCs/>
      <w:color w:val="EF7516"/>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2F0"/>
    <w:rPr>
      <w:rFonts w:ascii="HelveticaNeueLT Std" w:eastAsia="Times New Roman" w:hAnsi="HelveticaNeueLT Std" w:cs="Times New Roman"/>
      <w:b/>
      <w:bCs/>
      <w:color w:val="EF7516"/>
      <w:sz w:val="32"/>
      <w:szCs w:val="28"/>
    </w:rPr>
  </w:style>
  <w:style w:type="paragraph" w:styleId="ListParagraph">
    <w:name w:val="List Paragraph"/>
    <w:basedOn w:val="Normal"/>
    <w:uiPriority w:val="34"/>
    <w:qFormat/>
    <w:rsid w:val="009362F0"/>
    <w:pPr>
      <w:ind w:left="720"/>
    </w:pPr>
  </w:style>
  <w:style w:type="character" w:styleId="Hyperlink">
    <w:name w:val="Hyperlink"/>
    <w:basedOn w:val="DefaultParagraphFont"/>
    <w:uiPriority w:val="99"/>
    <w:unhideWhenUsed/>
    <w:rsid w:val="009362F0"/>
    <w:rPr>
      <w:color w:val="0000FF"/>
      <w:u w:val="single"/>
    </w:rPr>
  </w:style>
  <w:style w:type="paragraph" w:customStyle="1" w:styleId="xmsonormal">
    <w:name w:val="xmsonormal"/>
    <w:basedOn w:val="Normal"/>
    <w:rsid w:val="009362F0"/>
    <w:rPr>
      <w:rFonts w:eastAsiaTheme="minorHAnsi"/>
    </w:rPr>
  </w:style>
  <w:style w:type="paragraph" w:styleId="BalloonText">
    <w:name w:val="Balloon Text"/>
    <w:basedOn w:val="Normal"/>
    <w:link w:val="BalloonTextChar"/>
    <w:uiPriority w:val="99"/>
    <w:semiHidden/>
    <w:unhideWhenUsed/>
    <w:rsid w:val="009D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68"/>
    <w:rPr>
      <w:rFonts w:ascii="Segoe UI" w:eastAsia="Times New Roman" w:hAnsi="Segoe UI" w:cs="Segoe UI"/>
      <w:sz w:val="18"/>
      <w:szCs w:val="18"/>
      <w:lang w:eastAsia="fr-CA"/>
    </w:rPr>
  </w:style>
  <w:style w:type="character" w:styleId="CommentReference">
    <w:name w:val="annotation reference"/>
    <w:basedOn w:val="DefaultParagraphFont"/>
    <w:uiPriority w:val="99"/>
    <w:semiHidden/>
    <w:unhideWhenUsed/>
    <w:rsid w:val="00DC0E43"/>
    <w:rPr>
      <w:sz w:val="16"/>
      <w:szCs w:val="16"/>
    </w:rPr>
  </w:style>
  <w:style w:type="paragraph" w:styleId="CommentText">
    <w:name w:val="annotation text"/>
    <w:basedOn w:val="Normal"/>
    <w:link w:val="CommentTextChar"/>
    <w:uiPriority w:val="99"/>
    <w:semiHidden/>
    <w:unhideWhenUsed/>
    <w:rsid w:val="00DC0E43"/>
    <w:rPr>
      <w:sz w:val="20"/>
      <w:szCs w:val="20"/>
    </w:rPr>
  </w:style>
  <w:style w:type="character" w:customStyle="1" w:styleId="CommentTextChar">
    <w:name w:val="Comment Text Char"/>
    <w:basedOn w:val="DefaultParagraphFont"/>
    <w:link w:val="CommentText"/>
    <w:uiPriority w:val="99"/>
    <w:semiHidden/>
    <w:rsid w:val="00DC0E43"/>
    <w:rPr>
      <w:rFonts w:ascii="Times New Roman" w:eastAsia="Times New Roman" w:hAnsi="Times New Roman" w:cs="Times New Roman"/>
      <w:sz w:val="20"/>
      <w:szCs w:val="20"/>
      <w:lang w:eastAsia="fr-CA"/>
    </w:rPr>
  </w:style>
  <w:style w:type="paragraph" w:styleId="CommentSubject">
    <w:name w:val="annotation subject"/>
    <w:basedOn w:val="CommentText"/>
    <w:next w:val="CommentText"/>
    <w:link w:val="CommentSubjectChar"/>
    <w:uiPriority w:val="99"/>
    <w:semiHidden/>
    <w:unhideWhenUsed/>
    <w:rsid w:val="00DC0E43"/>
    <w:rPr>
      <w:b/>
      <w:bCs/>
    </w:rPr>
  </w:style>
  <w:style w:type="character" w:customStyle="1" w:styleId="CommentSubjectChar">
    <w:name w:val="Comment Subject Char"/>
    <w:basedOn w:val="CommentTextChar"/>
    <w:link w:val="CommentSubject"/>
    <w:uiPriority w:val="99"/>
    <w:semiHidden/>
    <w:rsid w:val="00DC0E43"/>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4040">
      <w:bodyDiv w:val="1"/>
      <w:marLeft w:val="0"/>
      <w:marRight w:val="0"/>
      <w:marTop w:val="0"/>
      <w:marBottom w:val="0"/>
      <w:divBdr>
        <w:top w:val="none" w:sz="0" w:space="0" w:color="auto"/>
        <w:left w:val="none" w:sz="0" w:space="0" w:color="auto"/>
        <w:bottom w:val="none" w:sz="0" w:space="0" w:color="auto"/>
        <w:right w:val="none" w:sz="0" w:space="0" w:color="auto"/>
      </w:divBdr>
    </w:div>
    <w:div w:id="17134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inspq.qc.ca%2Fcovid-19%2Fenvironnement%2Fnettoyage-surfaces&amp;data=02%7C01%7C%7C91bbcb12607f4c9f146508d7dcb8bbc0%7C1cfd1395271149f5b90fba4278776919%7C0%7C0%7C637220558432136468&amp;sdata=2hceOwXKSnDz1%2FKHkGV3hplUZRcCsg8I1k%2FYfL4LAy8%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ebec.ca/sante/problemes-de-sante/a-z/coronavirus-2019/reponses-questions-coronaviru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agriurbain.hypotheses.org%2F4739&amp;data=02%7C01%7C%7C8e845ef0058f4148d6ca08d7dbf716a3%7C1cfd1395271149f5b90fba4278776919%7C0%7C1%7C637219726736221614&amp;sdata=R6A%2FZ85mDOWuvxbEJUXIPtlwjnIOrVa4Ju0ogrTSp6Y%3D&amp;reserved=0" TargetMode="External"/><Relationship Id="rId11" Type="http://schemas.openxmlformats.org/officeDocument/2006/relationships/hyperlink" Target="http://www.agr.gc.ca/fra/maladie-a-coronavirus-covid-19-information-pour-lindustrie/?id=1584732749543" TargetMode="External"/><Relationship Id="rId5" Type="http://schemas.openxmlformats.org/officeDocument/2006/relationships/image" Target="media/image1.jpeg"/><Relationship Id="rId10" Type="http://schemas.openxmlformats.org/officeDocument/2006/relationships/hyperlink" Target="https://www.mapaq.gouv.qc.ca/fr/Avis_Publicite/Pages/COVID-19_QuestionsReponses.aspx" TargetMode="External"/><Relationship Id="rId4" Type="http://schemas.openxmlformats.org/officeDocument/2006/relationships/webSettings" Target="webSettings.xml"/><Relationship Id="rId9" Type="http://schemas.openxmlformats.org/officeDocument/2006/relationships/hyperlink" Target="https://www.inspq.qc.ca/sites/default/files/covid/2947-travailleurs-agricoles-covid1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5883</Characters>
  <Application>Microsoft Office Word</Application>
  <DocSecurity>0</DocSecurity>
  <Lines>235</Lines>
  <Paragraphs>186</Paragraphs>
  <ScaleCrop>false</ScaleCrop>
  <HeadingPairs>
    <vt:vector size="2" baseType="variant">
      <vt:variant>
        <vt:lpstr>Titre</vt:lpstr>
      </vt:variant>
      <vt:variant>
        <vt:i4>1</vt:i4>
      </vt:variant>
    </vt:vector>
  </HeadingPairs>
  <TitlesOfParts>
    <vt:vector size="1" baseType="lpstr">
      <vt:lpstr/>
    </vt:vector>
  </TitlesOfParts>
  <Company>INSPQ</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Gilca</dc:creator>
  <cp:lastModifiedBy>Moe Garahan</cp:lastModifiedBy>
  <cp:revision>2</cp:revision>
  <dcterms:created xsi:type="dcterms:W3CDTF">2020-04-14T01:30:00Z</dcterms:created>
  <dcterms:modified xsi:type="dcterms:W3CDTF">2020-04-14T01:30:00Z</dcterms:modified>
</cp:coreProperties>
</file>