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74FF0" w14:textId="77777777" w:rsidR="00560327" w:rsidRDefault="00B84CB5" w:rsidP="00A14EA6">
      <w:pPr>
        <w:pStyle w:val="Heading1"/>
        <w:jc w:val="center"/>
        <w:rPr>
          <w:rFonts w:eastAsia="Times New Roman"/>
          <w:b/>
        </w:rPr>
      </w:pPr>
      <w:r>
        <w:rPr>
          <w:rFonts w:eastAsia="Times New Roman"/>
          <w:b/>
        </w:rPr>
        <w:t xml:space="preserve">Student Nutrition Programs and </w:t>
      </w:r>
      <w:r w:rsidRPr="00A16364">
        <w:rPr>
          <w:rFonts w:eastAsia="Times New Roman"/>
          <w:b/>
        </w:rPr>
        <w:t>Food Literacy</w:t>
      </w:r>
      <w:r>
        <w:rPr>
          <w:rFonts w:eastAsia="Times New Roman"/>
          <w:b/>
        </w:rPr>
        <w:t xml:space="preserve"> </w:t>
      </w:r>
    </w:p>
    <w:p w14:paraId="1A2A2245" w14:textId="57EEEB35" w:rsidR="00844F6C" w:rsidRPr="00844F6C" w:rsidRDefault="00844F6C" w:rsidP="00844F6C">
      <w:pPr>
        <w:jc w:val="center"/>
        <w:rPr>
          <w:rFonts w:asciiTheme="minorHAnsi" w:hAnsiTheme="minorHAnsi"/>
          <w:sz w:val="22"/>
          <w:szCs w:val="22"/>
        </w:rPr>
      </w:pPr>
      <w:r>
        <w:rPr>
          <w:rFonts w:asciiTheme="minorHAnsi" w:hAnsiTheme="minorHAnsi"/>
          <w:sz w:val="22"/>
          <w:szCs w:val="22"/>
        </w:rPr>
        <w:t xml:space="preserve">Draft, July </w:t>
      </w:r>
      <w:r w:rsidR="00523BFE">
        <w:rPr>
          <w:rFonts w:asciiTheme="minorHAnsi" w:hAnsiTheme="minorHAnsi"/>
          <w:sz w:val="22"/>
          <w:szCs w:val="22"/>
        </w:rPr>
        <w:t>29</w:t>
      </w:r>
      <w:r>
        <w:rPr>
          <w:rFonts w:asciiTheme="minorHAnsi" w:hAnsiTheme="minorHAnsi"/>
          <w:sz w:val="22"/>
          <w:szCs w:val="22"/>
        </w:rPr>
        <w:t>, 2014</w:t>
      </w:r>
    </w:p>
    <w:p w14:paraId="6E3BD0BD" w14:textId="77777777" w:rsidR="00B84CB5" w:rsidRDefault="00B84CB5" w:rsidP="00B84CB5">
      <w:pPr>
        <w:rPr>
          <w:rFonts w:asciiTheme="minorHAnsi" w:eastAsia="Times New Roman" w:hAnsiTheme="minorHAnsi"/>
          <w:sz w:val="22"/>
          <w:szCs w:val="22"/>
        </w:rPr>
      </w:pPr>
    </w:p>
    <w:p w14:paraId="5DAA74F8" w14:textId="0F4501D2" w:rsidR="001D65C6" w:rsidRDefault="001D65C6" w:rsidP="00B84CB5">
      <w:pPr>
        <w:rPr>
          <w:rFonts w:asciiTheme="minorHAnsi" w:eastAsia="Times New Roman" w:hAnsiTheme="minorHAnsi"/>
          <w:sz w:val="22"/>
          <w:szCs w:val="22"/>
        </w:rPr>
      </w:pPr>
      <w:r>
        <w:rPr>
          <w:rFonts w:asciiTheme="minorHAnsi" w:eastAsia="Times New Roman" w:hAnsiTheme="minorHAnsi"/>
          <w:sz w:val="22"/>
          <w:szCs w:val="22"/>
        </w:rPr>
        <w:t xml:space="preserve">Student Nutrition Programs and food literacy complement one another to support healthy kids. </w:t>
      </w:r>
    </w:p>
    <w:p w14:paraId="6F562828" w14:textId="77777777" w:rsidR="001D65C6" w:rsidRDefault="001D65C6" w:rsidP="00B84CB5">
      <w:pPr>
        <w:rPr>
          <w:rFonts w:asciiTheme="minorHAnsi" w:eastAsia="Times New Roman" w:hAnsiTheme="minorHAnsi"/>
          <w:sz w:val="22"/>
          <w:szCs w:val="22"/>
        </w:rPr>
      </w:pPr>
    </w:p>
    <w:p w14:paraId="07C3D395" w14:textId="77777777" w:rsidR="000C4559" w:rsidRDefault="00B84CB5" w:rsidP="00B84CB5">
      <w:pPr>
        <w:rPr>
          <w:rFonts w:asciiTheme="minorHAnsi" w:eastAsia="Times New Roman" w:hAnsiTheme="minorHAnsi"/>
          <w:sz w:val="22"/>
          <w:szCs w:val="22"/>
        </w:rPr>
      </w:pPr>
      <w:r>
        <w:rPr>
          <w:rFonts w:asciiTheme="minorHAnsi" w:hAnsiTheme="minorHAnsi"/>
          <w:sz w:val="22"/>
          <w:szCs w:val="22"/>
        </w:rPr>
        <w:t xml:space="preserve">A </w:t>
      </w:r>
      <w:r w:rsidRPr="00FF54C3">
        <w:rPr>
          <w:rFonts w:asciiTheme="minorHAnsi" w:hAnsiTheme="minorHAnsi"/>
          <w:b/>
          <w:sz w:val="22"/>
          <w:szCs w:val="22"/>
        </w:rPr>
        <w:t>Student Nutrition Program (SNP)</w:t>
      </w:r>
      <w:r>
        <w:rPr>
          <w:rFonts w:asciiTheme="minorHAnsi" w:hAnsiTheme="minorHAnsi"/>
          <w:sz w:val="22"/>
          <w:szCs w:val="22"/>
        </w:rPr>
        <w:t xml:space="preserve"> </w:t>
      </w:r>
      <w:r w:rsidRPr="007965B3">
        <w:rPr>
          <w:rFonts w:asciiTheme="minorHAnsi" w:hAnsiTheme="minorHAnsi"/>
          <w:sz w:val="22"/>
          <w:szCs w:val="22"/>
        </w:rPr>
        <w:t>is a program that offers a healthy breakfast, morning meal, snack and/or lunch to students before, during or after each school day.</w:t>
      </w:r>
      <w:r w:rsidR="000C4559">
        <w:rPr>
          <w:rStyle w:val="EndnoteReference"/>
          <w:rFonts w:asciiTheme="minorHAnsi" w:hAnsiTheme="minorHAnsi"/>
          <w:sz w:val="22"/>
          <w:szCs w:val="22"/>
        </w:rPr>
        <w:endnoteReference w:id="1"/>
      </w:r>
    </w:p>
    <w:p w14:paraId="7E98AFF3" w14:textId="77777777" w:rsidR="00B84CB5" w:rsidRDefault="00B84CB5" w:rsidP="00B84CB5">
      <w:pPr>
        <w:rPr>
          <w:rFonts w:asciiTheme="minorHAnsi" w:eastAsia="Times New Roman" w:hAnsiTheme="minorHAnsi"/>
          <w:sz w:val="22"/>
          <w:szCs w:val="22"/>
        </w:rPr>
      </w:pPr>
    </w:p>
    <w:p w14:paraId="42A2FFA7" w14:textId="77777777" w:rsidR="00B84CB5" w:rsidRPr="00B36871" w:rsidRDefault="00B84CB5" w:rsidP="00B84CB5">
      <w:pPr>
        <w:rPr>
          <w:rFonts w:asciiTheme="minorHAnsi" w:eastAsia="Times New Roman" w:hAnsiTheme="minorHAnsi"/>
          <w:sz w:val="22"/>
          <w:szCs w:val="22"/>
        </w:rPr>
      </w:pPr>
      <w:r w:rsidRPr="00FF54C3">
        <w:rPr>
          <w:rFonts w:asciiTheme="minorHAnsi" w:eastAsia="Times New Roman" w:hAnsiTheme="minorHAnsi"/>
          <w:b/>
          <w:sz w:val="22"/>
          <w:szCs w:val="22"/>
        </w:rPr>
        <w:t>Food literacy</w:t>
      </w:r>
      <w:r w:rsidRPr="00B36871">
        <w:rPr>
          <w:rFonts w:asciiTheme="minorHAnsi" w:eastAsia="Times New Roman" w:hAnsiTheme="minorHAnsi"/>
          <w:sz w:val="22"/>
          <w:szCs w:val="22"/>
        </w:rPr>
        <w:t xml:space="preserve"> involves understanding: </w:t>
      </w:r>
    </w:p>
    <w:p w14:paraId="0236859C" w14:textId="77777777" w:rsidR="00B84CB5" w:rsidRPr="00B36871" w:rsidRDefault="00B84CB5" w:rsidP="00B84CB5">
      <w:pPr>
        <w:pStyle w:val="ListParagraph"/>
        <w:numPr>
          <w:ilvl w:val="0"/>
          <w:numId w:val="2"/>
        </w:numPr>
        <w:ind w:left="851"/>
        <w:rPr>
          <w:rFonts w:eastAsia="Times New Roman"/>
        </w:rPr>
      </w:pPr>
      <w:r w:rsidRPr="00B36871">
        <w:rPr>
          <w:rFonts w:eastAsia="Times New Roman"/>
        </w:rPr>
        <w:t xml:space="preserve">where food comes from; </w:t>
      </w:r>
    </w:p>
    <w:p w14:paraId="00B06048" w14:textId="77777777" w:rsidR="00B84CB5" w:rsidRPr="00B36871" w:rsidRDefault="00B84CB5" w:rsidP="00B84CB5">
      <w:pPr>
        <w:pStyle w:val="ListParagraph"/>
        <w:numPr>
          <w:ilvl w:val="0"/>
          <w:numId w:val="1"/>
        </w:numPr>
        <w:ind w:left="851"/>
        <w:rPr>
          <w:rFonts w:eastAsia="Times New Roman"/>
        </w:rPr>
      </w:pPr>
      <w:r w:rsidRPr="00B36871">
        <w:rPr>
          <w:rFonts w:eastAsia="Times New Roman"/>
        </w:rPr>
        <w:t xml:space="preserve">the impacts of food on health, the environment and the economy; and </w:t>
      </w:r>
    </w:p>
    <w:p w14:paraId="096A5CE4" w14:textId="4CDF0C84" w:rsidR="00B84CB5" w:rsidRPr="00B36871" w:rsidRDefault="00B84CB5" w:rsidP="00B84CB5">
      <w:pPr>
        <w:pStyle w:val="ListParagraph"/>
        <w:numPr>
          <w:ilvl w:val="0"/>
          <w:numId w:val="2"/>
        </w:numPr>
        <w:ind w:left="851"/>
        <w:rPr>
          <w:rFonts w:eastAsia="Times New Roman"/>
        </w:rPr>
      </w:pPr>
      <w:r w:rsidRPr="00B36871">
        <w:rPr>
          <w:rFonts w:eastAsia="Times New Roman"/>
        </w:rPr>
        <w:t>how to grow, prepare, and prefer healthy, safe and nutritious food.</w:t>
      </w:r>
      <w:r w:rsidR="00F4234A">
        <w:rPr>
          <w:rStyle w:val="EndnoteReference"/>
          <w:rFonts w:eastAsia="Times New Roman"/>
        </w:rPr>
        <w:endnoteReference w:id="2"/>
      </w:r>
      <w:r w:rsidR="000C4559" w:rsidRPr="00B36871">
        <w:rPr>
          <w:rFonts w:eastAsia="Times New Roman"/>
        </w:rPr>
        <w:t xml:space="preserve"> </w:t>
      </w:r>
    </w:p>
    <w:p w14:paraId="507A39D0" w14:textId="77777777" w:rsidR="00B84CB5" w:rsidRPr="00B36871" w:rsidRDefault="00B84CB5" w:rsidP="00B84CB5">
      <w:pPr>
        <w:rPr>
          <w:rFonts w:asciiTheme="minorHAnsi" w:eastAsia="Times New Roman" w:hAnsiTheme="minorHAnsi"/>
          <w:sz w:val="22"/>
          <w:szCs w:val="22"/>
        </w:rPr>
      </w:pPr>
    </w:p>
    <w:p w14:paraId="49DE9241" w14:textId="3BF43F80" w:rsidR="00560327" w:rsidRDefault="00560327" w:rsidP="00560327">
      <w:pPr>
        <w:rPr>
          <w:rFonts w:asciiTheme="minorHAnsi" w:eastAsia="Times New Roman" w:hAnsiTheme="minorHAnsi"/>
          <w:sz w:val="22"/>
          <w:szCs w:val="22"/>
        </w:rPr>
      </w:pPr>
      <w:r>
        <w:rPr>
          <w:rFonts w:asciiTheme="minorHAnsi" w:eastAsia="Times New Roman" w:hAnsiTheme="minorHAnsi"/>
          <w:sz w:val="22"/>
          <w:szCs w:val="22"/>
        </w:rPr>
        <w:t xml:space="preserve">Food literacy education can be advanced through a wide range of efforts </w:t>
      </w:r>
      <w:r w:rsidR="00E61B0A">
        <w:rPr>
          <w:rFonts w:asciiTheme="minorHAnsi" w:eastAsia="Times New Roman" w:hAnsiTheme="minorHAnsi"/>
          <w:sz w:val="22"/>
          <w:szCs w:val="22"/>
        </w:rPr>
        <w:t xml:space="preserve">in schools </w:t>
      </w:r>
      <w:r>
        <w:rPr>
          <w:rFonts w:asciiTheme="minorHAnsi" w:eastAsia="Times New Roman" w:hAnsiTheme="minorHAnsi"/>
          <w:sz w:val="22"/>
          <w:szCs w:val="22"/>
        </w:rPr>
        <w:t>including school gardens, cooking programs, learning about food and nutrition during classroom lessons, and taking part in farm tours.</w:t>
      </w:r>
      <w:r w:rsidR="00AA02D0">
        <w:rPr>
          <w:rFonts w:asciiTheme="minorHAnsi" w:eastAsia="Times New Roman" w:hAnsiTheme="minorHAnsi"/>
          <w:sz w:val="22"/>
          <w:szCs w:val="22"/>
        </w:rPr>
        <w:t xml:space="preserve">  </w:t>
      </w:r>
      <w:r w:rsidR="008740F7" w:rsidRPr="008740F7">
        <w:rPr>
          <w:rFonts w:asciiTheme="minorHAnsi" w:eastAsia="Times New Roman" w:hAnsiTheme="minorHAnsi"/>
          <w:sz w:val="22"/>
          <w:szCs w:val="22"/>
        </w:rPr>
        <w:t xml:space="preserve">An example of how Student Nutrition Programs and Food Literacy </w:t>
      </w:r>
      <w:r w:rsidR="008740F7">
        <w:rPr>
          <w:rFonts w:asciiTheme="minorHAnsi" w:eastAsia="Times New Roman" w:hAnsiTheme="minorHAnsi"/>
          <w:sz w:val="22"/>
          <w:szCs w:val="22"/>
        </w:rPr>
        <w:t xml:space="preserve">can </w:t>
      </w:r>
      <w:r w:rsidR="008740F7" w:rsidRPr="008740F7">
        <w:rPr>
          <w:rFonts w:asciiTheme="minorHAnsi" w:eastAsia="Times New Roman" w:hAnsiTheme="minorHAnsi"/>
          <w:sz w:val="22"/>
          <w:szCs w:val="22"/>
        </w:rPr>
        <w:t>complement one another is that</w:t>
      </w:r>
      <w:r w:rsidR="008740F7">
        <w:rPr>
          <w:rFonts w:asciiTheme="minorHAnsi" w:eastAsia="Times New Roman" w:hAnsiTheme="minorHAnsi"/>
          <w:sz w:val="22"/>
          <w:szCs w:val="22"/>
        </w:rPr>
        <w:t xml:space="preserve"> h</w:t>
      </w:r>
      <w:r w:rsidR="00A552E4">
        <w:rPr>
          <w:rFonts w:asciiTheme="minorHAnsi" w:eastAsia="Times New Roman" w:hAnsiTheme="minorHAnsi"/>
          <w:sz w:val="22"/>
          <w:szCs w:val="22"/>
        </w:rPr>
        <w:t xml:space="preserve">ands-on food skills education </w:t>
      </w:r>
      <w:r w:rsidR="00AA02D0">
        <w:rPr>
          <w:rFonts w:asciiTheme="minorHAnsi" w:eastAsia="Times New Roman" w:hAnsiTheme="minorHAnsi"/>
          <w:sz w:val="22"/>
          <w:szCs w:val="22"/>
        </w:rPr>
        <w:t xml:space="preserve">can be </w:t>
      </w:r>
      <w:r w:rsidR="00A552E4">
        <w:rPr>
          <w:rFonts w:asciiTheme="minorHAnsi" w:eastAsia="Times New Roman" w:hAnsiTheme="minorHAnsi"/>
          <w:sz w:val="22"/>
          <w:szCs w:val="22"/>
        </w:rPr>
        <w:t xml:space="preserve">integrated into </w:t>
      </w:r>
      <w:r w:rsidR="00AA02D0">
        <w:rPr>
          <w:rFonts w:asciiTheme="minorHAnsi" w:eastAsia="Times New Roman" w:hAnsiTheme="minorHAnsi"/>
          <w:sz w:val="22"/>
          <w:szCs w:val="22"/>
        </w:rPr>
        <w:t xml:space="preserve">meal </w:t>
      </w:r>
      <w:r w:rsidR="00A552E4">
        <w:rPr>
          <w:rFonts w:asciiTheme="minorHAnsi" w:eastAsia="Times New Roman" w:hAnsiTheme="minorHAnsi"/>
          <w:sz w:val="22"/>
          <w:szCs w:val="22"/>
        </w:rPr>
        <w:t>and</w:t>
      </w:r>
      <w:r w:rsidR="003A4464">
        <w:rPr>
          <w:rFonts w:asciiTheme="minorHAnsi" w:eastAsia="Times New Roman" w:hAnsiTheme="minorHAnsi"/>
          <w:sz w:val="22"/>
          <w:szCs w:val="22"/>
        </w:rPr>
        <w:t xml:space="preserve"> snack </w:t>
      </w:r>
      <w:r w:rsidR="00AA02D0">
        <w:rPr>
          <w:rFonts w:asciiTheme="minorHAnsi" w:eastAsia="Times New Roman" w:hAnsiTheme="minorHAnsi"/>
          <w:sz w:val="22"/>
          <w:szCs w:val="22"/>
        </w:rPr>
        <w:t>program</w:t>
      </w:r>
      <w:r w:rsidR="00A552E4">
        <w:rPr>
          <w:rFonts w:asciiTheme="minorHAnsi" w:eastAsia="Times New Roman" w:hAnsiTheme="minorHAnsi"/>
          <w:sz w:val="22"/>
          <w:szCs w:val="22"/>
        </w:rPr>
        <w:t>s by involving children and youth in planning, prepa</w:t>
      </w:r>
      <w:r w:rsidR="008740F7">
        <w:rPr>
          <w:rFonts w:asciiTheme="minorHAnsi" w:eastAsia="Times New Roman" w:hAnsiTheme="minorHAnsi"/>
          <w:sz w:val="22"/>
          <w:szCs w:val="22"/>
        </w:rPr>
        <w:t>ring, serving, and sharing food and beverages</w:t>
      </w:r>
      <w:bookmarkStart w:id="0" w:name="_GoBack"/>
      <w:bookmarkEnd w:id="0"/>
      <w:r w:rsidR="00AA02D0">
        <w:rPr>
          <w:rFonts w:asciiTheme="minorHAnsi" w:eastAsia="Times New Roman" w:hAnsiTheme="minorHAnsi"/>
          <w:sz w:val="22"/>
          <w:szCs w:val="22"/>
        </w:rPr>
        <w:t xml:space="preserve">. </w:t>
      </w:r>
    </w:p>
    <w:p w14:paraId="7A9DB501" w14:textId="77777777" w:rsidR="00560327" w:rsidRDefault="00560327" w:rsidP="00560327">
      <w:pPr>
        <w:rPr>
          <w:rFonts w:asciiTheme="minorHAnsi" w:eastAsia="Times New Roman" w:hAnsiTheme="minorHAnsi"/>
          <w:sz w:val="22"/>
          <w:szCs w:val="22"/>
        </w:rPr>
      </w:pPr>
    </w:p>
    <w:p w14:paraId="38F129E0" w14:textId="36C85BC6" w:rsidR="00E61B0A" w:rsidRDefault="00E61B0A" w:rsidP="00E61B0A">
      <w:pPr>
        <w:jc w:val="center"/>
        <w:rPr>
          <w:rFonts w:asciiTheme="minorHAnsi" w:eastAsia="Times New Roman" w:hAnsiTheme="minorHAnsi"/>
          <w:sz w:val="22"/>
          <w:szCs w:val="22"/>
        </w:rPr>
      </w:pPr>
      <w:r>
        <w:rPr>
          <w:rFonts w:asciiTheme="minorHAnsi" w:eastAsia="Times New Roman" w:hAnsiTheme="minorHAnsi"/>
          <w:sz w:val="22"/>
          <w:szCs w:val="22"/>
        </w:rPr>
        <w:t>***</w:t>
      </w:r>
    </w:p>
    <w:p w14:paraId="16E05277" w14:textId="77777777" w:rsidR="00E61B0A" w:rsidRDefault="00E61B0A" w:rsidP="00560327">
      <w:pPr>
        <w:rPr>
          <w:rFonts w:asciiTheme="minorHAnsi" w:eastAsia="Times New Roman" w:hAnsiTheme="minorHAnsi"/>
          <w:sz w:val="22"/>
          <w:szCs w:val="22"/>
        </w:rPr>
      </w:pPr>
    </w:p>
    <w:p w14:paraId="76B2E8F1" w14:textId="239CCB0E" w:rsidR="00E61B0A" w:rsidRPr="00E61B0A" w:rsidRDefault="00055374" w:rsidP="00560327">
      <w:pPr>
        <w:rPr>
          <w:rFonts w:asciiTheme="minorHAnsi" w:eastAsia="Times New Roman" w:hAnsiTheme="minorHAnsi"/>
          <w:b/>
          <w:sz w:val="22"/>
          <w:szCs w:val="22"/>
        </w:rPr>
      </w:pPr>
      <w:r w:rsidRPr="00E61B0A">
        <w:rPr>
          <w:rFonts w:asciiTheme="minorHAnsi" w:eastAsia="Times New Roman" w:hAnsiTheme="minorHAnsi"/>
          <w:b/>
          <w:sz w:val="22"/>
          <w:szCs w:val="22"/>
        </w:rPr>
        <w:t xml:space="preserve">A strong school food </w:t>
      </w:r>
      <w:r w:rsidR="00560327" w:rsidRPr="00E61B0A">
        <w:rPr>
          <w:rFonts w:asciiTheme="minorHAnsi" w:eastAsia="Times New Roman" w:hAnsiTheme="minorHAnsi"/>
          <w:b/>
          <w:sz w:val="22"/>
          <w:szCs w:val="22"/>
        </w:rPr>
        <w:t>environment</w:t>
      </w:r>
      <w:r w:rsidRPr="00E61B0A">
        <w:rPr>
          <w:rFonts w:asciiTheme="minorHAnsi" w:eastAsia="Times New Roman" w:hAnsiTheme="minorHAnsi"/>
          <w:b/>
          <w:sz w:val="22"/>
          <w:szCs w:val="22"/>
        </w:rPr>
        <w:t xml:space="preserve"> in</w:t>
      </w:r>
      <w:r w:rsidR="00E61B0A" w:rsidRPr="00E61B0A">
        <w:rPr>
          <w:rFonts w:asciiTheme="minorHAnsi" w:eastAsia="Times New Roman" w:hAnsiTheme="minorHAnsi"/>
          <w:b/>
          <w:sz w:val="22"/>
          <w:szCs w:val="22"/>
        </w:rPr>
        <w:t>corporates</w:t>
      </w:r>
      <w:r w:rsidRPr="00E61B0A">
        <w:rPr>
          <w:rFonts w:asciiTheme="minorHAnsi" w:eastAsia="Times New Roman" w:hAnsiTheme="minorHAnsi"/>
          <w:b/>
          <w:sz w:val="22"/>
          <w:szCs w:val="22"/>
        </w:rPr>
        <w:t xml:space="preserve"> both </w:t>
      </w:r>
      <w:r w:rsidR="005875C5" w:rsidRPr="00E61B0A">
        <w:rPr>
          <w:rFonts w:asciiTheme="minorHAnsi" w:eastAsia="Times New Roman" w:hAnsiTheme="minorHAnsi"/>
          <w:b/>
          <w:sz w:val="22"/>
          <w:szCs w:val="22"/>
        </w:rPr>
        <w:t>a meal program</w:t>
      </w:r>
      <w:r w:rsidRPr="00E61B0A">
        <w:rPr>
          <w:rFonts w:asciiTheme="minorHAnsi" w:eastAsia="Times New Roman" w:hAnsiTheme="minorHAnsi"/>
          <w:b/>
          <w:sz w:val="22"/>
          <w:szCs w:val="22"/>
        </w:rPr>
        <w:t xml:space="preserve"> and food literacy</w:t>
      </w:r>
      <w:r w:rsidR="00882E22" w:rsidRPr="00E61B0A">
        <w:rPr>
          <w:rFonts w:asciiTheme="minorHAnsi" w:eastAsia="Times New Roman" w:hAnsiTheme="minorHAnsi"/>
          <w:b/>
          <w:sz w:val="22"/>
          <w:szCs w:val="22"/>
        </w:rPr>
        <w:t xml:space="preserve"> education</w:t>
      </w:r>
      <w:r w:rsidRPr="00E61B0A">
        <w:rPr>
          <w:rFonts w:asciiTheme="minorHAnsi" w:eastAsia="Times New Roman" w:hAnsiTheme="minorHAnsi"/>
          <w:b/>
          <w:sz w:val="22"/>
          <w:szCs w:val="22"/>
        </w:rPr>
        <w:t xml:space="preserve">  </w:t>
      </w:r>
    </w:p>
    <w:p w14:paraId="30D4D695" w14:textId="3E8C58CE" w:rsidR="00560327" w:rsidRDefault="00055374" w:rsidP="00560327">
      <w:pPr>
        <w:rPr>
          <w:rFonts w:asciiTheme="minorHAnsi" w:eastAsia="Times New Roman" w:hAnsiTheme="minorHAnsi"/>
          <w:sz w:val="22"/>
          <w:szCs w:val="22"/>
        </w:rPr>
      </w:pPr>
      <w:r>
        <w:rPr>
          <w:rFonts w:asciiTheme="minorHAnsi" w:eastAsia="Times New Roman" w:hAnsiTheme="minorHAnsi"/>
          <w:sz w:val="22"/>
          <w:szCs w:val="22"/>
        </w:rPr>
        <w:t xml:space="preserve">While </w:t>
      </w:r>
      <w:r w:rsidR="005875C5">
        <w:rPr>
          <w:rFonts w:asciiTheme="minorHAnsi" w:eastAsia="Times New Roman" w:hAnsiTheme="minorHAnsi"/>
          <w:sz w:val="22"/>
          <w:szCs w:val="22"/>
        </w:rPr>
        <w:t>SNPs</w:t>
      </w:r>
      <w:r>
        <w:rPr>
          <w:rFonts w:asciiTheme="minorHAnsi" w:eastAsia="Times New Roman" w:hAnsiTheme="minorHAnsi"/>
          <w:sz w:val="22"/>
          <w:szCs w:val="22"/>
        </w:rPr>
        <w:t xml:space="preserve"> allow children </w:t>
      </w:r>
      <w:r w:rsidR="00E61B0A">
        <w:rPr>
          <w:rFonts w:asciiTheme="minorHAnsi" w:eastAsia="Times New Roman" w:hAnsiTheme="minorHAnsi"/>
          <w:sz w:val="22"/>
          <w:szCs w:val="22"/>
        </w:rPr>
        <w:t xml:space="preserve">and youth to </w:t>
      </w:r>
      <w:r>
        <w:rPr>
          <w:rFonts w:asciiTheme="minorHAnsi" w:eastAsia="Times New Roman" w:hAnsiTheme="minorHAnsi"/>
          <w:sz w:val="22"/>
          <w:szCs w:val="22"/>
        </w:rPr>
        <w:t xml:space="preserve">access to food during the school day and </w:t>
      </w:r>
      <w:r w:rsidR="005875C5">
        <w:rPr>
          <w:rFonts w:asciiTheme="minorHAnsi" w:eastAsia="Times New Roman" w:hAnsiTheme="minorHAnsi"/>
          <w:sz w:val="22"/>
          <w:szCs w:val="22"/>
        </w:rPr>
        <w:t xml:space="preserve">help them </w:t>
      </w:r>
      <w:r>
        <w:rPr>
          <w:rFonts w:asciiTheme="minorHAnsi" w:eastAsia="Times New Roman" w:hAnsiTheme="minorHAnsi"/>
          <w:sz w:val="22"/>
          <w:szCs w:val="22"/>
        </w:rPr>
        <w:t>to</w:t>
      </w:r>
      <w:r w:rsidR="00157F7A">
        <w:rPr>
          <w:rFonts w:asciiTheme="minorHAnsi" w:eastAsia="Times New Roman" w:hAnsiTheme="minorHAnsi"/>
          <w:sz w:val="22"/>
          <w:szCs w:val="22"/>
        </w:rPr>
        <w:t xml:space="preserve"> </w:t>
      </w:r>
      <w:r w:rsidR="00A552E4">
        <w:rPr>
          <w:rFonts w:asciiTheme="minorHAnsi" w:eastAsia="Times New Roman" w:hAnsiTheme="minorHAnsi"/>
          <w:sz w:val="22"/>
          <w:szCs w:val="22"/>
        </w:rPr>
        <w:t xml:space="preserve">achieve greater </w:t>
      </w:r>
      <w:r>
        <w:rPr>
          <w:rFonts w:asciiTheme="minorHAnsi" w:eastAsia="Times New Roman" w:hAnsiTheme="minorHAnsi"/>
          <w:sz w:val="22"/>
          <w:szCs w:val="22"/>
        </w:rPr>
        <w:t>academic excellence</w:t>
      </w:r>
      <w:r w:rsidR="00157F7A">
        <w:rPr>
          <w:rFonts w:asciiTheme="minorHAnsi" w:eastAsia="Times New Roman" w:hAnsiTheme="minorHAnsi"/>
          <w:sz w:val="22"/>
          <w:szCs w:val="22"/>
        </w:rPr>
        <w:t xml:space="preserve"> and adopt healthy</w:t>
      </w:r>
      <w:r w:rsidR="00A770E0">
        <w:rPr>
          <w:rFonts w:asciiTheme="minorHAnsi" w:eastAsia="Times New Roman" w:hAnsiTheme="minorHAnsi"/>
          <w:sz w:val="22"/>
          <w:szCs w:val="22"/>
        </w:rPr>
        <w:t xml:space="preserve"> eating</w:t>
      </w:r>
      <w:r w:rsidR="00157F7A">
        <w:rPr>
          <w:rFonts w:asciiTheme="minorHAnsi" w:eastAsia="Times New Roman" w:hAnsiTheme="minorHAnsi"/>
          <w:sz w:val="22"/>
          <w:szCs w:val="22"/>
        </w:rPr>
        <w:t xml:space="preserve"> habits</w:t>
      </w:r>
      <w:r>
        <w:rPr>
          <w:rFonts w:asciiTheme="minorHAnsi" w:eastAsia="Times New Roman" w:hAnsiTheme="minorHAnsi"/>
          <w:sz w:val="22"/>
          <w:szCs w:val="22"/>
        </w:rPr>
        <w:t>, f</w:t>
      </w:r>
      <w:r w:rsidR="00B84CB5" w:rsidRPr="00B36871">
        <w:rPr>
          <w:rFonts w:asciiTheme="minorHAnsi" w:eastAsia="Times New Roman" w:hAnsiTheme="minorHAnsi"/>
          <w:sz w:val="22"/>
          <w:szCs w:val="22"/>
        </w:rPr>
        <w:t>ood literacy education engages children and youth to learn skills that will enable them to make healthy food choices throughout their lives.</w:t>
      </w:r>
      <w:r w:rsidR="00560327">
        <w:rPr>
          <w:rFonts w:asciiTheme="minorHAnsi" w:eastAsia="Times New Roman" w:hAnsiTheme="minorHAnsi"/>
          <w:sz w:val="22"/>
          <w:szCs w:val="22"/>
        </w:rPr>
        <w:t xml:space="preserve">  </w:t>
      </w:r>
    </w:p>
    <w:p w14:paraId="4E68ECD0" w14:textId="77777777" w:rsidR="00560327" w:rsidRDefault="00560327" w:rsidP="00560327">
      <w:pPr>
        <w:rPr>
          <w:rFonts w:asciiTheme="minorHAnsi" w:eastAsia="Times New Roman" w:hAnsiTheme="minorHAnsi"/>
          <w:sz w:val="22"/>
          <w:szCs w:val="22"/>
        </w:rPr>
      </w:pPr>
    </w:p>
    <w:p w14:paraId="2FD8353A" w14:textId="37673BD9" w:rsidR="00560327" w:rsidRDefault="00E61698" w:rsidP="00560327">
      <w:pPr>
        <w:rPr>
          <w:rFonts w:asciiTheme="minorHAnsi" w:eastAsia="Times New Roman" w:hAnsiTheme="minorHAnsi"/>
          <w:sz w:val="22"/>
          <w:szCs w:val="22"/>
        </w:rPr>
      </w:pPr>
      <w:r>
        <w:rPr>
          <w:rFonts w:asciiTheme="minorHAnsi" w:eastAsia="Times New Roman" w:hAnsiTheme="minorHAnsi"/>
          <w:sz w:val="22"/>
          <w:szCs w:val="22"/>
        </w:rPr>
        <w:t xml:space="preserve">SNPs and food literacy </w:t>
      </w:r>
      <w:r w:rsidR="00E61B0A">
        <w:rPr>
          <w:rFonts w:asciiTheme="minorHAnsi" w:eastAsia="Times New Roman" w:hAnsiTheme="minorHAnsi"/>
          <w:sz w:val="22"/>
          <w:szCs w:val="22"/>
        </w:rPr>
        <w:t>strongly</w:t>
      </w:r>
      <w:r w:rsidR="00560327">
        <w:rPr>
          <w:rFonts w:asciiTheme="minorHAnsi" w:eastAsia="Times New Roman" w:hAnsiTheme="minorHAnsi"/>
          <w:sz w:val="22"/>
          <w:szCs w:val="22"/>
        </w:rPr>
        <w:t xml:space="preserve"> support</w:t>
      </w:r>
      <w:r w:rsidR="00E61B0A">
        <w:rPr>
          <w:rFonts w:asciiTheme="minorHAnsi" w:eastAsia="Times New Roman" w:hAnsiTheme="minorHAnsi"/>
          <w:sz w:val="22"/>
          <w:szCs w:val="22"/>
        </w:rPr>
        <w:t xml:space="preserve"> each</w:t>
      </w:r>
      <w:r w:rsidR="00560327">
        <w:rPr>
          <w:rFonts w:asciiTheme="minorHAnsi" w:eastAsia="Times New Roman" w:hAnsiTheme="minorHAnsi"/>
          <w:sz w:val="22"/>
          <w:szCs w:val="22"/>
        </w:rPr>
        <w:t xml:space="preserve"> another</w:t>
      </w:r>
      <w:r w:rsidR="00E61B0A">
        <w:rPr>
          <w:rFonts w:asciiTheme="minorHAnsi" w:eastAsia="Times New Roman" w:hAnsiTheme="minorHAnsi"/>
          <w:sz w:val="22"/>
          <w:szCs w:val="22"/>
        </w:rPr>
        <w:t>.  Meal programs bring students to</w:t>
      </w:r>
      <w:r w:rsidR="00405E42">
        <w:rPr>
          <w:rFonts w:asciiTheme="minorHAnsi" w:eastAsia="Times New Roman" w:hAnsiTheme="minorHAnsi"/>
          <w:sz w:val="22"/>
          <w:szCs w:val="22"/>
        </w:rPr>
        <w:t>gether to</w:t>
      </w:r>
      <w:r w:rsidR="00E61B0A">
        <w:rPr>
          <w:rFonts w:asciiTheme="minorHAnsi" w:eastAsia="Times New Roman" w:hAnsiTheme="minorHAnsi"/>
          <w:sz w:val="22"/>
          <w:szCs w:val="22"/>
        </w:rPr>
        <w:t xml:space="preserve"> eat and enjoy</w:t>
      </w:r>
      <w:r w:rsidR="00405E42">
        <w:rPr>
          <w:rFonts w:asciiTheme="minorHAnsi" w:eastAsia="Times New Roman" w:hAnsiTheme="minorHAnsi"/>
          <w:sz w:val="22"/>
          <w:szCs w:val="22"/>
        </w:rPr>
        <w:t xml:space="preserve"> nutritious foods and beverages</w:t>
      </w:r>
      <w:r w:rsidR="00E61B0A">
        <w:rPr>
          <w:rFonts w:asciiTheme="minorHAnsi" w:eastAsia="Times New Roman" w:hAnsiTheme="minorHAnsi"/>
          <w:sz w:val="22"/>
          <w:szCs w:val="22"/>
        </w:rPr>
        <w:t xml:space="preserve">.  They offer great opportunities for teaching children and youth about their food and food systems.  Also, food literacy programs can amplify the benefits of student meals by getting students excited about </w:t>
      </w:r>
      <w:r>
        <w:rPr>
          <w:rFonts w:asciiTheme="minorHAnsi" w:eastAsia="Times New Roman" w:hAnsiTheme="minorHAnsi"/>
          <w:sz w:val="22"/>
          <w:szCs w:val="22"/>
        </w:rPr>
        <w:t xml:space="preserve">choosing, trying and eating </w:t>
      </w:r>
      <w:r w:rsidR="00E61B0A">
        <w:rPr>
          <w:rFonts w:asciiTheme="minorHAnsi" w:eastAsia="Times New Roman" w:hAnsiTheme="minorHAnsi"/>
          <w:sz w:val="22"/>
          <w:szCs w:val="22"/>
        </w:rPr>
        <w:t>healthy options.</w:t>
      </w:r>
    </w:p>
    <w:p w14:paraId="02BDA715" w14:textId="77777777" w:rsidR="00882E22" w:rsidRDefault="00882E22" w:rsidP="00B84CB5">
      <w:pPr>
        <w:rPr>
          <w:rFonts w:asciiTheme="minorHAnsi" w:eastAsia="Times New Roman" w:hAnsiTheme="minorHAnsi"/>
          <w:sz w:val="22"/>
          <w:szCs w:val="22"/>
        </w:rPr>
      </w:pPr>
    </w:p>
    <w:p w14:paraId="1B5BF207" w14:textId="77777777" w:rsidR="00E61B0A" w:rsidRDefault="00E61B0A" w:rsidP="00E61B0A">
      <w:pPr>
        <w:jc w:val="center"/>
        <w:rPr>
          <w:rFonts w:asciiTheme="minorHAnsi" w:eastAsia="Times New Roman" w:hAnsiTheme="minorHAnsi"/>
          <w:sz w:val="22"/>
          <w:szCs w:val="22"/>
        </w:rPr>
      </w:pPr>
      <w:r>
        <w:rPr>
          <w:rFonts w:asciiTheme="minorHAnsi" w:eastAsia="Times New Roman" w:hAnsiTheme="minorHAnsi"/>
          <w:sz w:val="22"/>
          <w:szCs w:val="22"/>
        </w:rPr>
        <w:t>***</w:t>
      </w:r>
    </w:p>
    <w:p w14:paraId="4C31710B" w14:textId="77777777" w:rsidR="00560327" w:rsidRDefault="00560327" w:rsidP="00B84CB5">
      <w:pPr>
        <w:rPr>
          <w:rFonts w:asciiTheme="minorHAnsi" w:eastAsia="Times New Roman" w:hAnsiTheme="minorHAnsi"/>
          <w:sz w:val="22"/>
          <w:szCs w:val="22"/>
        </w:rPr>
      </w:pPr>
    </w:p>
    <w:p w14:paraId="02CA8DF3" w14:textId="46C207D1" w:rsidR="00B84CB5" w:rsidRPr="002D0194" w:rsidRDefault="00B84CB5" w:rsidP="005875C5">
      <w:pPr>
        <w:rPr>
          <w:rFonts w:asciiTheme="minorHAnsi" w:hAnsiTheme="minorHAnsi"/>
          <w:b/>
          <w:sz w:val="22"/>
          <w:szCs w:val="22"/>
          <w:lang w:val="en-US"/>
        </w:rPr>
      </w:pPr>
      <w:r w:rsidRPr="002D0194">
        <w:rPr>
          <w:rFonts w:asciiTheme="minorHAnsi" w:hAnsiTheme="minorHAnsi"/>
          <w:b/>
          <w:sz w:val="22"/>
          <w:szCs w:val="22"/>
          <w:lang w:val="en-US"/>
        </w:rPr>
        <w:t xml:space="preserve">SNPs and food literacy reduce the incidences and </w:t>
      </w:r>
      <w:r w:rsidR="00405E42">
        <w:rPr>
          <w:rFonts w:asciiTheme="minorHAnsi" w:hAnsiTheme="minorHAnsi"/>
          <w:b/>
          <w:sz w:val="22"/>
          <w:szCs w:val="22"/>
          <w:lang w:val="en-US"/>
        </w:rPr>
        <w:t xml:space="preserve">burden of </w:t>
      </w:r>
      <w:r w:rsidRPr="002D0194">
        <w:rPr>
          <w:rFonts w:asciiTheme="minorHAnsi" w:hAnsiTheme="minorHAnsi"/>
          <w:b/>
          <w:sz w:val="22"/>
          <w:szCs w:val="22"/>
          <w:lang w:val="en-US"/>
        </w:rPr>
        <w:t>illness</w:t>
      </w:r>
    </w:p>
    <w:p w14:paraId="2FB4600C" w14:textId="08716F0B" w:rsidR="000C4559" w:rsidRPr="002D0194" w:rsidRDefault="00B84CB5" w:rsidP="005875C5">
      <w:pPr>
        <w:rPr>
          <w:rFonts w:asciiTheme="minorHAnsi" w:hAnsiTheme="minorHAnsi"/>
          <w:sz w:val="22"/>
          <w:szCs w:val="22"/>
          <w:lang w:val="en-US"/>
        </w:rPr>
      </w:pPr>
      <w:r w:rsidRPr="002D0194">
        <w:rPr>
          <w:rFonts w:asciiTheme="minorHAnsi" w:hAnsiTheme="minorHAnsi"/>
          <w:sz w:val="22"/>
          <w:szCs w:val="22"/>
        </w:rPr>
        <w:t>Findings consistently show that student nutrition and food literacy programs</w:t>
      </w:r>
      <w:r w:rsidR="00882E22">
        <w:rPr>
          <w:rFonts w:asciiTheme="minorHAnsi" w:hAnsiTheme="minorHAnsi"/>
          <w:sz w:val="22"/>
          <w:szCs w:val="22"/>
        </w:rPr>
        <w:t xml:space="preserve"> result in students eating more </w:t>
      </w:r>
      <w:r w:rsidRPr="002D0194">
        <w:rPr>
          <w:rFonts w:asciiTheme="minorHAnsi" w:hAnsiTheme="minorHAnsi"/>
          <w:sz w:val="22"/>
          <w:szCs w:val="22"/>
        </w:rPr>
        <w:t>fruits and vegetables per day in the cafeteria, classroom, or at home; that these programs result in students making positive lifestyle changes; and that they improve knowledge and attitudes about healthy eating.</w:t>
      </w:r>
      <w:r w:rsidR="000C4559" w:rsidRPr="002D0194">
        <w:rPr>
          <w:rFonts w:asciiTheme="minorHAnsi" w:hAnsiTheme="minorHAnsi"/>
          <w:sz w:val="22"/>
          <w:szCs w:val="22"/>
          <w:vertAlign w:val="superscript"/>
        </w:rPr>
        <w:endnoteReference w:id="3"/>
      </w:r>
    </w:p>
    <w:p w14:paraId="3C47A8E4" w14:textId="77777777" w:rsidR="00AF681E" w:rsidRDefault="00AF681E" w:rsidP="00AF681E">
      <w:pPr>
        <w:rPr>
          <w:rFonts w:asciiTheme="minorHAnsi" w:eastAsia="Times New Roman" w:hAnsiTheme="minorHAnsi"/>
          <w:sz w:val="22"/>
          <w:szCs w:val="22"/>
        </w:rPr>
      </w:pPr>
    </w:p>
    <w:p w14:paraId="24270986" w14:textId="77777777" w:rsidR="00AF681E" w:rsidRDefault="00AF681E" w:rsidP="00AF681E">
      <w:pPr>
        <w:jc w:val="center"/>
        <w:rPr>
          <w:rFonts w:asciiTheme="minorHAnsi" w:eastAsia="Times New Roman" w:hAnsiTheme="minorHAnsi"/>
          <w:sz w:val="22"/>
          <w:szCs w:val="22"/>
        </w:rPr>
      </w:pPr>
      <w:r>
        <w:rPr>
          <w:rFonts w:asciiTheme="minorHAnsi" w:eastAsia="Times New Roman" w:hAnsiTheme="minorHAnsi"/>
          <w:sz w:val="22"/>
          <w:szCs w:val="22"/>
        </w:rPr>
        <w:t>***</w:t>
      </w:r>
    </w:p>
    <w:p w14:paraId="35D56BC1" w14:textId="77777777" w:rsidR="000C4559" w:rsidRDefault="000C4559" w:rsidP="00821548">
      <w:pPr>
        <w:rPr>
          <w:rFonts w:asciiTheme="minorHAnsi" w:hAnsiTheme="minorHAnsi"/>
          <w:b/>
          <w:sz w:val="22"/>
          <w:szCs w:val="22"/>
          <w:lang w:val="en-US"/>
        </w:rPr>
      </w:pPr>
    </w:p>
    <w:p w14:paraId="579388DA" w14:textId="77777777" w:rsidR="000C4559" w:rsidRPr="00B84CB5" w:rsidRDefault="000C4559" w:rsidP="00821548">
      <w:pPr>
        <w:rPr>
          <w:rFonts w:asciiTheme="minorHAnsi" w:hAnsiTheme="minorHAnsi"/>
          <w:b/>
          <w:sz w:val="22"/>
          <w:szCs w:val="22"/>
          <w:lang w:val="en-US"/>
        </w:rPr>
      </w:pPr>
      <w:r w:rsidRPr="00B84CB5">
        <w:rPr>
          <w:rFonts w:asciiTheme="minorHAnsi" w:hAnsiTheme="minorHAnsi"/>
          <w:b/>
          <w:sz w:val="22"/>
          <w:szCs w:val="22"/>
          <w:lang w:val="en-US"/>
        </w:rPr>
        <w:t xml:space="preserve">SNPs and food literacy improve academic attendance and performance </w:t>
      </w:r>
    </w:p>
    <w:p w14:paraId="15593BE4" w14:textId="77777777" w:rsidR="00685D30" w:rsidRDefault="000C4559" w:rsidP="00685D30">
      <w:pPr>
        <w:rPr>
          <w:rFonts w:asciiTheme="minorHAnsi" w:hAnsiTheme="minorHAnsi"/>
          <w:sz w:val="22"/>
          <w:szCs w:val="22"/>
          <w:u w:val="single"/>
          <w:lang w:val="en-US"/>
        </w:rPr>
      </w:pPr>
      <w:r w:rsidRPr="002D0194">
        <w:rPr>
          <w:rFonts w:asciiTheme="minorHAnsi" w:hAnsiTheme="minorHAnsi"/>
          <w:sz w:val="22"/>
          <w:szCs w:val="22"/>
          <w:lang w:val="en-US"/>
        </w:rPr>
        <w:t>For many children and youth, breakfasts, snacks or lunches provided by student nutrition programs are the only meal or the only healthy meal that they eat during the day.</w:t>
      </w:r>
      <w:r w:rsidRPr="002D0194">
        <w:rPr>
          <w:rFonts w:asciiTheme="minorHAnsi" w:hAnsiTheme="minorHAnsi"/>
          <w:sz w:val="22"/>
          <w:szCs w:val="22"/>
          <w:vertAlign w:val="superscript"/>
          <w:lang w:val="en-US"/>
        </w:rPr>
        <w:endnoteReference w:id="4"/>
      </w:r>
      <w:r w:rsidRPr="002D0194">
        <w:rPr>
          <w:rFonts w:asciiTheme="minorHAnsi" w:hAnsiTheme="minorHAnsi"/>
          <w:sz w:val="22"/>
          <w:szCs w:val="22"/>
          <w:lang w:val="en-US"/>
        </w:rPr>
        <w:t xml:space="preserve"> A vast body of evidence shows that student nutrition programs contribute significantly to reducing tardiness and illness, to improving students’ behaviour in class, and to improving students’ abilities to concentrate, retain and apply information.</w:t>
      </w:r>
      <w:r w:rsidRPr="002D0194">
        <w:rPr>
          <w:rFonts w:asciiTheme="minorHAnsi" w:hAnsiTheme="minorHAnsi"/>
          <w:sz w:val="22"/>
          <w:szCs w:val="22"/>
          <w:vertAlign w:val="superscript"/>
          <w:lang w:val="en-US"/>
        </w:rPr>
        <w:endnoteReference w:id="5"/>
      </w:r>
      <w:r w:rsidR="00685D30">
        <w:rPr>
          <w:rFonts w:asciiTheme="minorHAnsi" w:hAnsiTheme="minorHAnsi"/>
          <w:sz w:val="22"/>
          <w:szCs w:val="22"/>
          <w:lang w:val="en-US"/>
        </w:rPr>
        <w:t xml:space="preserve">  Involving children and youth in growing and preparing food can also help excite and engage students in their school environment.</w:t>
      </w:r>
    </w:p>
    <w:p w14:paraId="64BA22BA" w14:textId="77777777" w:rsidR="00882E22" w:rsidRDefault="00882E22" w:rsidP="00821548">
      <w:pPr>
        <w:rPr>
          <w:rFonts w:asciiTheme="minorHAnsi" w:hAnsiTheme="minorHAnsi"/>
          <w:sz w:val="22"/>
          <w:szCs w:val="22"/>
          <w:lang w:val="en-US"/>
        </w:rPr>
      </w:pPr>
    </w:p>
    <w:p w14:paraId="3F1D7CE9" w14:textId="6C8E8C85" w:rsidR="00882E22" w:rsidRDefault="00882E22" w:rsidP="00821548">
      <w:pPr>
        <w:rPr>
          <w:rFonts w:asciiTheme="minorHAnsi" w:hAnsiTheme="minorHAnsi"/>
          <w:sz w:val="22"/>
          <w:szCs w:val="22"/>
          <w:lang w:val="en-US"/>
        </w:rPr>
      </w:pPr>
      <w:r>
        <w:rPr>
          <w:rFonts w:asciiTheme="minorHAnsi" w:hAnsiTheme="minorHAnsi"/>
          <w:sz w:val="22"/>
          <w:szCs w:val="22"/>
          <w:lang w:val="en-US"/>
        </w:rPr>
        <w:lastRenderedPageBreak/>
        <w:t xml:space="preserve">A number of other studies have </w:t>
      </w:r>
      <w:r w:rsidR="0032218D">
        <w:rPr>
          <w:rFonts w:asciiTheme="minorHAnsi" w:hAnsiTheme="minorHAnsi"/>
          <w:sz w:val="22"/>
          <w:szCs w:val="22"/>
          <w:lang w:val="en-US"/>
        </w:rPr>
        <w:t>demonstrated improved academic performance and higher test scores, particularly in the areas of math and science, as a result of</w:t>
      </w:r>
      <w:r>
        <w:rPr>
          <w:rFonts w:asciiTheme="minorHAnsi" w:hAnsiTheme="minorHAnsi"/>
          <w:sz w:val="22"/>
          <w:szCs w:val="22"/>
          <w:lang w:val="en-US"/>
        </w:rPr>
        <w:t xml:space="preserve"> </w:t>
      </w:r>
      <w:r w:rsidR="0032218D">
        <w:rPr>
          <w:rFonts w:asciiTheme="minorHAnsi" w:hAnsiTheme="minorHAnsi"/>
          <w:sz w:val="22"/>
          <w:szCs w:val="22"/>
          <w:lang w:val="en-US"/>
        </w:rPr>
        <w:t>garden-based education.  Overall improvements on standardized achievement tests have also been well documented.</w:t>
      </w:r>
      <w:r w:rsidR="0032218D" w:rsidRPr="0032218D">
        <w:rPr>
          <w:rFonts w:asciiTheme="minorHAnsi" w:hAnsiTheme="minorHAnsi"/>
          <w:sz w:val="22"/>
          <w:szCs w:val="22"/>
          <w:vertAlign w:val="superscript"/>
          <w:lang w:val="en-US"/>
        </w:rPr>
        <w:t xml:space="preserve"> </w:t>
      </w:r>
      <w:r w:rsidR="0032218D" w:rsidRPr="002D0194">
        <w:rPr>
          <w:rFonts w:asciiTheme="minorHAnsi" w:hAnsiTheme="minorHAnsi"/>
          <w:sz w:val="22"/>
          <w:szCs w:val="22"/>
          <w:vertAlign w:val="superscript"/>
          <w:lang w:val="en-US"/>
        </w:rPr>
        <w:endnoteReference w:id="6"/>
      </w:r>
      <w:r w:rsidR="0032218D">
        <w:rPr>
          <w:rFonts w:asciiTheme="minorHAnsi" w:hAnsiTheme="minorHAnsi"/>
          <w:sz w:val="22"/>
          <w:szCs w:val="22"/>
          <w:lang w:val="en-US"/>
        </w:rPr>
        <w:t xml:space="preserve"> </w:t>
      </w:r>
    </w:p>
    <w:p w14:paraId="3924AFE2" w14:textId="77777777" w:rsidR="00685D30" w:rsidRDefault="00685D30" w:rsidP="00821548">
      <w:pPr>
        <w:rPr>
          <w:rFonts w:asciiTheme="minorHAnsi" w:hAnsiTheme="minorHAnsi"/>
          <w:sz w:val="22"/>
          <w:szCs w:val="22"/>
          <w:lang w:val="en-US"/>
        </w:rPr>
      </w:pPr>
    </w:p>
    <w:p w14:paraId="3FDF5EBA" w14:textId="77777777" w:rsidR="00AF681E" w:rsidRDefault="00AF681E" w:rsidP="00AF681E">
      <w:pPr>
        <w:jc w:val="center"/>
        <w:rPr>
          <w:rFonts w:asciiTheme="minorHAnsi" w:eastAsia="Times New Roman" w:hAnsiTheme="minorHAnsi"/>
          <w:sz w:val="22"/>
          <w:szCs w:val="22"/>
        </w:rPr>
      </w:pPr>
      <w:r>
        <w:rPr>
          <w:rFonts w:asciiTheme="minorHAnsi" w:eastAsia="Times New Roman" w:hAnsiTheme="minorHAnsi"/>
          <w:sz w:val="22"/>
          <w:szCs w:val="22"/>
        </w:rPr>
        <w:t>***</w:t>
      </w:r>
    </w:p>
    <w:p w14:paraId="66701774" w14:textId="77777777" w:rsidR="00821548" w:rsidRDefault="00821548" w:rsidP="00821548">
      <w:pPr>
        <w:rPr>
          <w:rFonts w:asciiTheme="minorHAnsi" w:hAnsiTheme="minorHAnsi"/>
          <w:sz w:val="22"/>
          <w:szCs w:val="22"/>
          <w:u w:val="single"/>
          <w:lang w:val="en-US"/>
        </w:rPr>
      </w:pPr>
    </w:p>
    <w:p w14:paraId="75409853" w14:textId="77777777" w:rsidR="000C4559" w:rsidRPr="00821548" w:rsidRDefault="000C4559" w:rsidP="00821548">
      <w:pPr>
        <w:rPr>
          <w:rFonts w:asciiTheme="minorHAnsi" w:hAnsiTheme="minorHAnsi"/>
          <w:sz w:val="22"/>
          <w:szCs w:val="22"/>
          <w:u w:val="single"/>
          <w:lang w:val="en-US"/>
        </w:rPr>
      </w:pPr>
      <w:r w:rsidRPr="000C4559">
        <w:rPr>
          <w:rFonts w:asciiTheme="minorHAnsi" w:hAnsiTheme="minorHAnsi"/>
          <w:b/>
          <w:sz w:val="22"/>
          <w:szCs w:val="22"/>
          <w:lang w:val="en-US"/>
        </w:rPr>
        <w:t>SNPs and food literacy provide children with essential life skills</w:t>
      </w:r>
    </w:p>
    <w:p w14:paraId="4A20AA87" w14:textId="77777777" w:rsidR="000C4559" w:rsidRPr="002D0194" w:rsidRDefault="000C4559" w:rsidP="00821548">
      <w:pPr>
        <w:rPr>
          <w:rFonts w:asciiTheme="minorHAnsi" w:hAnsiTheme="minorHAnsi"/>
          <w:sz w:val="22"/>
          <w:szCs w:val="22"/>
          <w:lang w:val="en-US"/>
        </w:rPr>
      </w:pPr>
      <w:r w:rsidRPr="002D0194">
        <w:rPr>
          <w:rFonts w:asciiTheme="minorHAnsi" w:hAnsiTheme="minorHAnsi"/>
          <w:sz w:val="22"/>
          <w:szCs w:val="22"/>
          <w:lang w:val="en-US"/>
        </w:rPr>
        <w:t>Student nutrition programs and food literacy education in school</w:t>
      </w:r>
      <w:r w:rsidR="00055374">
        <w:rPr>
          <w:rFonts w:asciiTheme="minorHAnsi" w:hAnsiTheme="minorHAnsi"/>
          <w:sz w:val="22"/>
          <w:szCs w:val="22"/>
          <w:lang w:val="en-US"/>
        </w:rPr>
        <w:t>s</w:t>
      </w:r>
      <w:r w:rsidRPr="002D0194">
        <w:rPr>
          <w:rFonts w:asciiTheme="minorHAnsi" w:hAnsiTheme="minorHAnsi"/>
          <w:sz w:val="22"/>
          <w:szCs w:val="22"/>
          <w:lang w:val="en-US"/>
        </w:rPr>
        <w:t xml:space="preserve"> </w:t>
      </w:r>
      <w:r w:rsidR="00055374">
        <w:rPr>
          <w:rFonts w:asciiTheme="minorHAnsi" w:hAnsiTheme="minorHAnsi"/>
          <w:sz w:val="22"/>
          <w:szCs w:val="22"/>
          <w:lang w:val="en-US"/>
        </w:rPr>
        <w:t xml:space="preserve">can help </w:t>
      </w:r>
      <w:r w:rsidRPr="002D0194">
        <w:rPr>
          <w:rFonts w:asciiTheme="minorHAnsi" w:hAnsiTheme="minorHAnsi"/>
          <w:sz w:val="22"/>
          <w:szCs w:val="22"/>
          <w:lang w:val="en-US"/>
        </w:rPr>
        <w:t xml:space="preserve">student gain the skills </w:t>
      </w:r>
      <w:r w:rsidR="00055374">
        <w:rPr>
          <w:rFonts w:asciiTheme="minorHAnsi" w:hAnsiTheme="minorHAnsi"/>
          <w:sz w:val="22"/>
          <w:szCs w:val="22"/>
          <w:lang w:val="en-US"/>
        </w:rPr>
        <w:t xml:space="preserve">needed </w:t>
      </w:r>
      <w:r w:rsidRPr="002D0194">
        <w:rPr>
          <w:rFonts w:asciiTheme="minorHAnsi" w:hAnsiTheme="minorHAnsi"/>
          <w:sz w:val="22"/>
          <w:szCs w:val="22"/>
          <w:lang w:val="en-US"/>
        </w:rPr>
        <w:t xml:space="preserve">to make healthy food choices and increase their self-efficacy to prepare nutritious meals for themselves.  </w:t>
      </w:r>
    </w:p>
    <w:p w14:paraId="623AD8FA" w14:textId="77777777" w:rsidR="000C4559" w:rsidRPr="002D0194" w:rsidRDefault="00055374" w:rsidP="00B84CB5">
      <w:pPr>
        <w:pStyle w:val="ListParagraph"/>
        <w:numPr>
          <w:ilvl w:val="0"/>
          <w:numId w:val="3"/>
        </w:numPr>
        <w:spacing w:after="160" w:line="259" w:lineRule="auto"/>
        <w:rPr>
          <w:lang w:val="en-US"/>
        </w:rPr>
      </w:pPr>
      <w:r>
        <w:rPr>
          <w:lang w:val="en-US"/>
        </w:rPr>
        <w:t>C</w:t>
      </w:r>
      <w:r w:rsidR="000C4559" w:rsidRPr="002D0194">
        <w:rPr>
          <w:lang w:val="en-US"/>
        </w:rPr>
        <w:t>hildren are not always provided with food skills or knowledge at home.</w:t>
      </w:r>
      <w:r w:rsidR="000C4559" w:rsidRPr="002D0194">
        <w:rPr>
          <w:vertAlign w:val="superscript"/>
          <w:lang w:val="en-US"/>
        </w:rPr>
        <w:t xml:space="preserve"> </w:t>
      </w:r>
      <w:r w:rsidR="000C4559" w:rsidRPr="002D0194">
        <w:rPr>
          <w:vertAlign w:val="superscript"/>
          <w:lang w:val="en-US"/>
        </w:rPr>
        <w:endnoteReference w:id="7"/>
      </w:r>
      <w:r w:rsidR="000C4559" w:rsidRPr="002D0194">
        <w:rPr>
          <w:lang w:val="en-US"/>
        </w:rPr>
        <w:t xml:space="preserve"> </w:t>
      </w:r>
    </w:p>
    <w:p w14:paraId="06A2EA28" w14:textId="77777777" w:rsidR="000C4559" w:rsidRPr="002D0194" w:rsidRDefault="000C4559" w:rsidP="00B84CB5">
      <w:pPr>
        <w:pStyle w:val="ListParagraph"/>
        <w:numPr>
          <w:ilvl w:val="0"/>
          <w:numId w:val="3"/>
        </w:numPr>
        <w:spacing w:after="160" w:line="259" w:lineRule="auto"/>
        <w:rPr>
          <w:lang w:val="en-US"/>
        </w:rPr>
      </w:pPr>
      <w:r w:rsidRPr="002D0194">
        <w:rPr>
          <w:lang w:val="en-US"/>
        </w:rPr>
        <w:t>Making food literacy part of the mainstream school curriculum is supported by 95% of Ontarians.</w:t>
      </w:r>
      <w:r w:rsidRPr="002D0194">
        <w:rPr>
          <w:vertAlign w:val="superscript"/>
          <w:lang w:val="en-US"/>
        </w:rPr>
        <w:endnoteReference w:id="8"/>
      </w:r>
    </w:p>
    <w:p w14:paraId="32FDB342" w14:textId="77777777" w:rsidR="000C4559" w:rsidRPr="002D0194" w:rsidRDefault="000C4559" w:rsidP="00B84CB5">
      <w:pPr>
        <w:pStyle w:val="ListParagraph"/>
        <w:numPr>
          <w:ilvl w:val="0"/>
          <w:numId w:val="3"/>
        </w:numPr>
        <w:spacing w:after="160" w:line="259" w:lineRule="auto"/>
        <w:rPr>
          <w:lang w:val="en-US"/>
        </w:rPr>
      </w:pPr>
      <w:r w:rsidRPr="002D0194">
        <w:t xml:space="preserve">Student nutrition programs have the potential to go beyond providing meals and snacks. Food provides an avenue for education on a wide variety of topics. </w:t>
      </w:r>
    </w:p>
    <w:p w14:paraId="49D2C3B1" w14:textId="77777777" w:rsidR="000C4559" w:rsidRPr="002D0194" w:rsidRDefault="00055374" w:rsidP="00B84CB5">
      <w:pPr>
        <w:spacing w:after="160" w:line="259" w:lineRule="auto"/>
        <w:rPr>
          <w:rFonts w:asciiTheme="minorHAnsi" w:hAnsiTheme="minorHAnsi"/>
          <w:sz w:val="22"/>
          <w:szCs w:val="22"/>
          <w:lang w:val="en-US"/>
        </w:rPr>
      </w:pPr>
      <w:r>
        <w:rPr>
          <w:rFonts w:asciiTheme="minorHAnsi" w:hAnsiTheme="minorHAnsi"/>
          <w:sz w:val="22"/>
          <w:szCs w:val="22"/>
          <w:lang w:val="en-US"/>
        </w:rPr>
        <w:t xml:space="preserve">Experiential </w:t>
      </w:r>
      <w:r w:rsidR="000C4559" w:rsidRPr="002D0194">
        <w:rPr>
          <w:rFonts w:asciiTheme="minorHAnsi" w:hAnsiTheme="minorHAnsi"/>
          <w:sz w:val="22"/>
          <w:szCs w:val="22"/>
          <w:lang w:val="en-US"/>
        </w:rPr>
        <w:t xml:space="preserve">activities such as food gardens, food skills, and cooking programs help to bring education to life for children and youth, especially when linked to the curriculum. </w:t>
      </w:r>
      <w:r>
        <w:rPr>
          <w:rFonts w:asciiTheme="minorHAnsi" w:hAnsiTheme="minorHAnsi"/>
          <w:sz w:val="22"/>
          <w:szCs w:val="22"/>
          <w:lang w:val="en-US"/>
        </w:rPr>
        <w:t>C</w:t>
      </w:r>
      <w:r w:rsidR="000C4559" w:rsidRPr="002D0194">
        <w:rPr>
          <w:rFonts w:asciiTheme="minorHAnsi" w:hAnsiTheme="minorHAnsi"/>
          <w:sz w:val="22"/>
          <w:szCs w:val="22"/>
          <w:lang w:val="en-US"/>
        </w:rPr>
        <w:t xml:space="preserve">hildren and youth </w:t>
      </w:r>
      <w:r>
        <w:rPr>
          <w:rFonts w:asciiTheme="minorHAnsi" w:hAnsiTheme="minorHAnsi"/>
          <w:sz w:val="22"/>
          <w:szCs w:val="22"/>
          <w:lang w:val="en-US"/>
        </w:rPr>
        <w:t xml:space="preserve">can </w:t>
      </w:r>
      <w:r w:rsidR="000C4559" w:rsidRPr="002D0194">
        <w:rPr>
          <w:rFonts w:asciiTheme="minorHAnsi" w:hAnsiTheme="minorHAnsi"/>
          <w:sz w:val="22"/>
          <w:szCs w:val="22"/>
          <w:lang w:val="en-US"/>
        </w:rPr>
        <w:t xml:space="preserve">become more engaged in learning about topics from math and science to English and history and gain useful and marketable skills. </w:t>
      </w:r>
    </w:p>
    <w:p w14:paraId="35AA398A" w14:textId="77777777" w:rsidR="000C4559" w:rsidRPr="002D0194" w:rsidRDefault="00AF38E4" w:rsidP="00055374">
      <w:pPr>
        <w:numPr>
          <w:ilvl w:val="0"/>
          <w:numId w:val="4"/>
        </w:numPr>
        <w:spacing w:line="259" w:lineRule="auto"/>
        <w:ind w:left="714" w:hanging="357"/>
        <w:rPr>
          <w:rFonts w:asciiTheme="minorHAnsi" w:hAnsiTheme="minorHAnsi"/>
          <w:sz w:val="22"/>
          <w:szCs w:val="22"/>
          <w:lang w:val="en-US"/>
        </w:rPr>
      </w:pPr>
      <w:r>
        <w:rPr>
          <w:rFonts w:asciiTheme="minorHAnsi" w:hAnsiTheme="minorHAnsi"/>
          <w:sz w:val="22"/>
          <w:szCs w:val="22"/>
        </w:rPr>
        <w:t>S</w:t>
      </w:r>
      <w:r w:rsidR="000C4559" w:rsidRPr="002D0194">
        <w:rPr>
          <w:rFonts w:asciiTheme="minorHAnsi" w:hAnsiTheme="minorHAnsi"/>
          <w:sz w:val="22"/>
          <w:szCs w:val="22"/>
        </w:rPr>
        <w:t xml:space="preserve">chool gardens </w:t>
      </w:r>
      <w:r>
        <w:rPr>
          <w:rFonts w:asciiTheme="minorHAnsi" w:hAnsiTheme="minorHAnsi"/>
          <w:sz w:val="22"/>
          <w:szCs w:val="22"/>
        </w:rPr>
        <w:t>are</w:t>
      </w:r>
      <w:r w:rsidR="000C4559" w:rsidRPr="002D0194">
        <w:rPr>
          <w:rFonts w:asciiTheme="minorHAnsi" w:hAnsiTheme="minorHAnsi"/>
          <w:sz w:val="22"/>
          <w:szCs w:val="22"/>
        </w:rPr>
        <w:t xml:space="preserve"> a fun educational vehicle for virtually every subject area. “They allow students to become familiar with the challenges and rewards of growing food. In many cases students also learn how to prepare the products of their labour into nutritious and tasty meals.”</w:t>
      </w:r>
      <w:r w:rsidR="000C4559" w:rsidRPr="002D0194">
        <w:rPr>
          <w:rFonts w:asciiTheme="minorHAnsi" w:hAnsiTheme="minorHAnsi"/>
          <w:sz w:val="22"/>
          <w:szCs w:val="22"/>
          <w:vertAlign w:val="superscript"/>
        </w:rPr>
        <w:endnoteReference w:id="9"/>
      </w:r>
    </w:p>
    <w:p w14:paraId="5E6E2D9C" w14:textId="77777777" w:rsidR="00AF38E4" w:rsidRPr="00E55732" w:rsidRDefault="00AF38E4" w:rsidP="00AF38E4">
      <w:pPr>
        <w:spacing w:line="259" w:lineRule="auto"/>
        <w:rPr>
          <w:rFonts w:asciiTheme="minorHAnsi" w:hAnsiTheme="minorHAnsi"/>
          <w:sz w:val="22"/>
          <w:szCs w:val="22"/>
          <w:lang w:val="en-US"/>
        </w:rPr>
      </w:pPr>
    </w:p>
    <w:p w14:paraId="6E349DFD" w14:textId="3CEC625C" w:rsidR="00E55732" w:rsidRPr="00E55732" w:rsidRDefault="00E55732" w:rsidP="00AF38E4">
      <w:pPr>
        <w:spacing w:line="259" w:lineRule="auto"/>
        <w:rPr>
          <w:rFonts w:asciiTheme="minorHAnsi" w:hAnsiTheme="minorHAnsi"/>
          <w:sz w:val="22"/>
          <w:szCs w:val="22"/>
          <w:lang w:val="en-US"/>
        </w:rPr>
      </w:pPr>
      <w:r w:rsidRPr="00E55732">
        <w:rPr>
          <w:rFonts w:asciiTheme="minorHAnsi" w:hAnsiTheme="minorHAnsi"/>
          <w:sz w:val="22"/>
          <w:szCs w:val="22"/>
          <w:lang w:val="en-US"/>
        </w:rPr>
        <w:t xml:space="preserve">Meal </w:t>
      </w:r>
      <w:r>
        <w:rPr>
          <w:rFonts w:asciiTheme="minorHAnsi" w:hAnsiTheme="minorHAnsi"/>
          <w:sz w:val="22"/>
          <w:szCs w:val="22"/>
          <w:lang w:val="en-US"/>
        </w:rPr>
        <w:t>programs also offer students a chance to connect with each other in a relaxed setting and to build a community with one another through the act of preparing and eating food together.</w:t>
      </w:r>
      <w:r w:rsidR="00A552E4">
        <w:rPr>
          <w:rFonts w:asciiTheme="minorHAnsi" w:hAnsiTheme="minorHAnsi"/>
          <w:sz w:val="22"/>
          <w:szCs w:val="22"/>
          <w:lang w:val="en-US"/>
        </w:rPr>
        <w:t xml:space="preserve">  </w:t>
      </w:r>
    </w:p>
    <w:p w14:paraId="739DE5B3" w14:textId="77777777" w:rsidR="00E55732" w:rsidRDefault="00E55732" w:rsidP="00AF38E4">
      <w:pPr>
        <w:spacing w:line="259" w:lineRule="auto"/>
        <w:rPr>
          <w:rFonts w:asciiTheme="minorHAnsi" w:hAnsiTheme="minorHAnsi"/>
          <w:b/>
          <w:sz w:val="22"/>
          <w:szCs w:val="22"/>
          <w:lang w:val="en-US"/>
        </w:rPr>
      </w:pPr>
    </w:p>
    <w:p w14:paraId="69CA75CA" w14:textId="77777777" w:rsidR="000C4559" w:rsidRPr="00AF38E4" w:rsidRDefault="000C4559" w:rsidP="00AF38E4">
      <w:pPr>
        <w:spacing w:line="259" w:lineRule="auto"/>
        <w:rPr>
          <w:rFonts w:asciiTheme="minorHAnsi" w:hAnsiTheme="minorHAnsi"/>
          <w:b/>
          <w:sz w:val="22"/>
          <w:szCs w:val="22"/>
          <w:lang w:val="en-US"/>
        </w:rPr>
      </w:pPr>
      <w:r w:rsidRPr="00AF38E4">
        <w:rPr>
          <w:rFonts w:asciiTheme="minorHAnsi" w:hAnsiTheme="minorHAnsi"/>
          <w:b/>
          <w:sz w:val="22"/>
          <w:szCs w:val="22"/>
          <w:lang w:val="en-US"/>
        </w:rPr>
        <w:t xml:space="preserve">SNPs and food literacy </w:t>
      </w:r>
      <w:r w:rsidR="00AF38E4">
        <w:rPr>
          <w:rFonts w:asciiTheme="minorHAnsi" w:hAnsiTheme="minorHAnsi"/>
          <w:b/>
          <w:sz w:val="22"/>
          <w:szCs w:val="22"/>
          <w:lang w:val="en-US"/>
        </w:rPr>
        <w:t xml:space="preserve">can </w:t>
      </w:r>
      <w:r w:rsidRPr="00AF38E4">
        <w:rPr>
          <w:rFonts w:asciiTheme="minorHAnsi" w:hAnsiTheme="minorHAnsi"/>
          <w:b/>
          <w:sz w:val="22"/>
          <w:szCs w:val="22"/>
          <w:lang w:val="en-US"/>
        </w:rPr>
        <w:t>enhance Ontario’s economic resilience</w:t>
      </w:r>
    </w:p>
    <w:p w14:paraId="1715BAE6" w14:textId="77777777" w:rsidR="000C4559" w:rsidRDefault="000C4559" w:rsidP="00AF38E4">
      <w:pPr>
        <w:spacing w:line="259" w:lineRule="auto"/>
        <w:rPr>
          <w:rFonts w:asciiTheme="minorHAnsi" w:hAnsiTheme="minorHAnsi"/>
          <w:sz w:val="22"/>
          <w:szCs w:val="22"/>
          <w:lang w:val="en-US"/>
        </w:rPr>
      </w:pPr>
      <w:r w:rsidRPr="002D0194">
        <w:rPr>
          <w:rFonts w:asciiTheme="minorHAnsi" w:hAnsiTheme="minorHAnsi"/>
          <w:sz w:val="22"/>
          <w:szCs w:val="22"/>
          <w:lang w:val="en-US"/>
        </w:rPr>
        <w:t xml:space="preserve">Nutrition programs, culinary programs, cafeterias and contracted food service providers in Ontario schools purchase millions of dollars of food annually.  Ontario has a lot to gain by supporting public institutions to buy local, sustainably produced food.  </w:t>
      </w:r>
    </w:p>
    <w:p w14:paraId="37AFCE57" w14:textId="77777777" w:rsidR="00157F7A" w:rsidRPr="002D0194" w:rsidRDefault="00157F7A" w:rsidP="00AF38E4">
      <w:pPr>
        <w:spacing w:line="259" w:lineRule="auto"/>
        <w:rPr>
          <w:rFonts w:asciiTheme="minorHAnsi" w:hAnsiTheme="minorHAnsi"/>
          <w:sz w:val="22"/>
          <w:szCs w:val="22"/>
          <w:lang w:val="en-US"/>
        </w:rPr>
      </w:pPr>
    </w:p>
    <w:p w14:paraId="6E8BAFB4" w14:textId="77777777" w:rsidR="000C4559" w:rsidRPr="002D0194" w:rsidRDefault="000C4559" w:rsidP="00B84CB5">
      <w:pPr>
        <w:numPr>
          <w:ilvl w:val="0"/>
          <w:numId w:val="5"/>
        </w:numPr>
        <w:spacing w:after="160" w:line="259" w:lineRule="auto"/>
        <w:rPr>
          <w:rFonts w:asciiTheme="minorHAnsi" w:hAnsiTheme="minorHAnsi"/>
          <w:sz w:val="22"/>
          <w:szCs w:val="22"/>
          <w:lang w:val="en-US"/>
        </w:rPr>
      </w:pPr>
      <w:r w:rsidRPr="002D0194">
        <w:rPr>
          <w:rFonts w:asciiTheme="minorHAnsi" w:hAnsiTheme="minorHAnsi"/>
          <w:sz w:val="22"/>
          <w:szCs w:val="22"/>
          <w:lang w:val="en-US"/>
        </w:rPr>
        <w:t xml:space="preserve">Shifting some of the dollars spent towards purchasing Ontario food would create new markets for Ontario products and support the local economy.  </w:t>
      </w:r>
    </w:p>
    <w:p w14:paraId="7FE06CE5" w14:textId="77777777" w:rsidR="00B84CB5" w:rsidRPr="002D0194" w:rsidRDefault="000C4559" w:rsidP="00B84CB5">
      <w:pPr>
        <w:numPr>
          <w:ilvl w:val="0"/>
          <w:numId w:val="5"/>
        </w:numPr>
        <w:spacing w:after="160" w:line="259" w:lineRule="auto"/>
        <w:rPr>
          <w:rFonts w:asciiTheme="minorHAnsi" w:hAnsiTheme="minorHAnsi"/>
          <w:sz w:val="22"/>
          <w:szCs w:val="22"/>
          <w:lang w:val="en-US"/>
        </w:rPr>
      </w:pPr>
      <w:r w:rsidRPr="002D0194">
        <w:rPr>
          <w:rFonts w:asciiTheme="minorHAnsi" w:hAnsiTheme="minorHAnsi"/>
          <w:sz w:val="22"/>
          <w:szCs w:val="22"/>
          <w:lang w:val="en-US"/>
        </w:rPr>
        <w:t>Strengthening institutional purchasing would build up a predictable base of demand for local food and provide opportunities to help rebuild local food infrastructure.</w:t>
      </w:r>
      <w:r w:rsidRPr="002D0194">
        <w:rPr>
          <w:rFonts w:asciiTheme="minorHAnsi" w:hAnsiTheme="minorHAnsi"/>
          <w:sz w:val="22"/>
          <w:szCs w:val="22"/>
          <w:vertAlign w:val="superscript"/>
          <w:lang w:val="en-US"/>
        </w:rPr>
        <w:endnoteReference w:id="10"/>
      </w:r>
      <w:r w:rsidRPr="002D0194">
        <w:rPr>
          <w:rFonts w:asciiTheme="minorHAnsi" w:hAnsiTheme="minorHAnsi"/>
          <w:sz w:val="22"/>
          <w:szCs w:val="22"/>
          <w:lang w:val="en-US"/>
        </w:rPr>
        <w:t xml:space="preserve"> </w:t>
      </w:r>
    </w:p>
    <w:p w14:paraId="5FBE8B98" w14:textId="77777777" w:rsidR="00B84CB5" w:rsidRDefault="00B84CB5" w:rsidP="00B84CB5">
      <w:pPr>
        <w:numPr>
          <w:ilvl w:val="0"/>
          <w:numId w:val="5"/>
        </w:numPr>
        <w:spacing w:after="160" w:line="259" w:lineRule="auto"/>
        <w:rPr>
          <w:rFonts w:asciiTheme="minorHAnsi" w:hAnsiTheme="minorHAnsi"/>
          <w:sz w:val="22"/>
          <w:szCs w:val="22"/>
          <w:lang w:val="en-US"/>
        </w:rPr>
      </w:pPr>
      <w:r w:rsidRPr="002D0194">
        <w:rPr>
          <w:rFonts w:asciiTheme="minorHAnsi" w:hAnsiTheme="minorHAnsi"/>
          <w:sz w:val="22"/>
          <w:szCs w:val="22"/>
          <w:lang w:val="en-US"/>
        </w:rPr>
        <w:t>F</w:t>
      </w:r>
      <w:r w:rsidR="00055374">
        <w:rPr>
          <w:rFonts w:asciiTheme="minorHAnsi" w:hAnsiTheme="minorHAnsi"/>
          <w:sz w:val="22"/>
          <w:szCs w:val="22"/>
          <w:lang w:val="en-US"/>
        </w:rPr>
        <w:t>or farmers, farm-to-sc</w:t>
      </w:r>
      <w:r w:rsidRPr="002D0194">
        <w:rPr>
          <w:rFonts w:asciiTheme="minorHAnsi" w:hAnsiTheme="minorHAnsi"/>
          <w:sz w:val="22"/>
          <w:szCs w:val="22"/>
          <w:lang w:val="en-US"/>
        </w:rPr>
        <w:t xml:space="preserve">hool programs can be a new market, an additional source of income, a way to become a part of the community, and an outlet to educate future consumers and potential farmers. </w:t>
      </w:r>
    </w:p>
    <w:p w14:paraId="541F5506" w14:textId="77777777" w:rsidR="00560327" w:rsidRPr="002D0194" w:rsidRDefault="00560327" w:rsidP="00560327">
      <w:pPr>
        <w:spacing w:after="160" w:line="259" w:lineRule="auto"/>
        <w:rPr>
          <w:rFonts w:asciiTheme="minorHAnsi" w:hAnsiTheme="minorHAnsi"/>
          <w:sz w:val="22"/>
          <w:szCs w:val="22"/>
          <w:lang w:val="en-US"/>
        </w:rPr>
      </w:pPr>
    </w:p>
    <w:sectPr w:rsidR="00560327" w:rsidRPr="002D0194" w:rsidSect="00B84CB5">
      <w:endnotePr>
        <w:numFmt w:val="decimal"/>
      </w:endnotePr>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BED45" w14:textId="77777777" w:rsidR="00AC1FC2" w:rsidRDefault="00AC1FC2" w:rsidP="00B84CB5">
      <w:r>
        <w:separator/>
      </w:r>
    </w:p>
  </w:endnote>
  <w:endnote w:type="continuationSeparator" w:id="0">
    <w:p w14:paraId="3BE3AB0C" w14:textId="77777777" w:rsidR="00AC1FC2" w:rsidRDefault="00AC1FC2" w:rsidP="00B84CB5">
      <w:r>
        <w:continuationSeparator/>
      </w:r>
    </w:p>
  </w:endnote>
  <w:endnote w:id="1">
    <w:p w14:paraId="5762D391" w14:textId="18A8AEFD" w:rsidR="00301519" w:rsidRDefault="00301519" w:rsidP="00B84CB5">
      <w:pPr>
        <w:pStyle w:val="EndnoteText"/>
      </w:pPr>
      <w:r>
        <w:rPr>
          <w:rStyle w:val="EndnoteReference"/>
        </w:rPr>
        <w:endnoteRef/>
      </w:r>
      <w:r>
        <w:t xml:space="preserve"> </w:t>
      </w:r>
      <w:r>
        <w:tab/>
        <w:t xml:space="preserve">FoodShare Toronto – Student Nutrition: Available online: </w:t>
      </w:r>
      <w:r w:rsidRPr="00370399">
        <w:t>http://www.foodshare.net/student-nutrition</w:t>
      </w:r>
      <w:r>
        <w:t xml:space="preserve">. </w:t>
      </w:r>
    </w:p>
  </w:endnote>
  <w:endnote w:id="2">
    <w:p w14:paraId="4B96F5DD" w14:textId="207F2522" w:rsidR="00301519" w:rsidRDefault="00301519">
      <w:pPr>
        <w:pStyle w:val="EndnoteText"/>
      </w:pPr>
      <w:r>
        <w:rPr>
          <w:rStyle w:val="EndnoteReference"/>
        </w:rPr>
        <w:endnoteRef/>
      </w:r>
      <w:r>
        <w:t xml:space="preserve"> </w:t>
      </w:r>
      <w:r>
        <w:tab/>
        <w:t>Sustain Ontario</w:t>
      </w:r>
      <w:r w:rsidR="006C4ED4">
        <w:t xml:space="preserve"> uses this as a </w:t>
      </w:r>
      <w:r>
        <w:t xml:space="preserve">framework for how </w:t>
      </w:r>
      <w:r w:rsidR="006C4ED4">
        <w:t xml:space="preserve">we can </w:t>
      </w:r>
      <w:r>
        <w:t xml:space="preserve">think about food literacy.  </w:t>
      </w:r>
    </w:p>
    <w:p w14:paraId="23EFF148" w14:textId="6F527BDC" w:rsidR="00301519" w:rsidRDefault="00301519" w:rsidP="00F4234A">
      <w:pPr>
        <w:pStyle w:val="EndnoteText"/>
        <w:ind w:firstLine="0"/>
      </w:pPr>
      <w:r>
        <w:t xml:space="preserve">Many definitions for food literacy exist including that developed by the Ontario Society of Nutrition Professionals in Public Health:  “Food Literacy is a set of skills and attributes that help people sustain the daily preparation of healthy, tasty, affordable meals for themselves and their families.  It builds resilience, because it includes food skills (techniques, knowledge and planning ability), the confidence to improvise and problem-solve, and the ability to access and share information.  It requires external support with healthy food access and living conditions, broad learning opportunities and positive socio-cultural environments.”  The full OSNPPH initiative “Making Something Out of Nothing” is available at </w:t>
      </w:r>
      <w:r w:rsidRPr="001B04C2">
        <w:t>http://www.osnpph.on.ca/resources/index.php</w:t>
      </w:r>
      <w:r>
        <w:t xml:space="preserve">. </w:t>
      </w:r>
    </w:p>
  </w:endnote>
  <w:endnote w:id="3">
    <w:p w14:paraId="1C59B6D6" w14:textId="77777777" w:rsidR="00301519" w:rsidRPr="00E836AE" w:rsidRDefault="00301519" w:rsidP="00B84CB5">
      <w:pPr>
        <w:pStyle w:val="EndnoteText"/>
      </w:pPr>
      <w:r>
        <w:rPr>
          <w:rStyle w:val="EndnoteReference"/>
        </w:rPr>
        <w:endnoteRef/>
      </w:r>
      <w:r>
        <w:t xml:space="preserve"> </w:t>
      </w:r>
      <w:r>
        <w:tab/>
      </w:r>
      <w:r w:rsidRPr="00E836AE">
        <w:t xml:space="preserve">Joshi, Anupama, Andrea Misako Azuma, &amp; Gail Feenstra. 2008. </w:t>
      </w:r>
      <w:r w:rsidRPr="00E836AE">
        <w:rPr>
          <w:i/>
        </w:rPr>
        <w:t>Do Farm-to-School Programs Make a Difference? Findings and Future Research Needs.</w:t>
      </w:r>
      <w:r w:rsidRPr="00E836AE">
        <w:t xml:space="preserve"> Journal of Hunger &amp; Environmental Nutrition, Vol. 3. Available</w:t>
      </w:r>
      <w:r>
        <w:t xml:space="preserve"> </w:t>
      </w:r>
      <w:r w:rsidRPr="00083A1C">
        <w:t xml:space="preserve">online: </w:t>
      </w:r>
      <w:r w:rsidRPr="002D0194">
        <w:t>http://www.cahpf.org/GoDocUserFiles/504.Farm_to_School_Programs.pdf</w:t>
      </w:r>
      <w:r>
        <w:t xml:space="preserve">. </w:t>
      </w:r>
    </w:p>
  </w:endnote>
  <w:endnote w:id="4">
    <w:p w14:paraId="38C7FB6C" w14:textId="4D3D4425" w:rsidR="00301519" w:rsidRDefault="00301519" w:rsidP="00B84CB5">
      <w:pPr>
        <w:pStyle w:val="EndnoteText"/>
      </w:pPr>
      <w:r w:rsidRPr="00CC43C3">
        <w:rPr>
          <w:rStyle w:val="EndnoteReference"/>
        </w:rPr>
        <w:endnoteRef/>
      </w:r>
      <w:r w:rsidRPr="00CC43C3">
        <w:t xml:space="preserve"> </w:t>
      </w:r>
      <w:r>
        <w:tab/>
      </w:r>
      <w:r w:rsidRPr="00CC43C3">
        <w:t>Muthuswamy, E. 2012. “Feeding Our Future: The First- and Second-Year Evaluation.” Toronto District School Board.</w:t>
      </w:r>
      <w:r>
        <w:t xml:space="preserve">  Available online: </w:t>
      </w:r>
      <w:r w:rsidRPr="00857973">
        <w:t>http://www.tdsb.on.ca/Portals/0/Elementary/docs/SupportingYou/EvaluationFOFProgram19Mar12.pdf</w:t>
      </w:r>
      <w:r>
        <w:t xml:space="preserve">. </w:t>
      </w:r>
    </w:p>
  </w:endnote>
  <w:endnote w:id="5">
    <w:p w14:paraId="6B05233E" w14:textId="46F8FD80" w:rsidR="00301519" w:rsidRDefault="00301519" w:rsidP="00B84CB5">
      <w:pPr>
        <w:pStyle w:val="EndnoteText"/>
      </w:pPr>
      <w:r w:rsidRPr="00CC43C3">
        <w:rPr>
          <w:rStyle w:val="EndnoteReference"/>
        </w:rPr>
        <w:endnoteRef/>
      </w:r>
      <w:r w:rsidRPr="00CC43C3">
        <w:t xml:space="preserve"> </w:t>
      </w:r>
      <w:r>
        <w:tab/>
      </w:r>
      <w:r w:rsidRPr="00EC2077">
        <w:t>Tufts University Center on Hunger, Poverty &amp; Nutrition</w:t>
      </w:r>
      <w:r>
        <w:t>,</w:t>
      </w:r>
      <w:r w:rsidRPr="00EC2077">
        <w:t xml:space="preserve"> 1994. </w:t>
      </w:r>
      <w:r w:rsidRPr="00EC2077">
        <w:rPr>
          <w:i/>
          <w:iCs/>
        </w:rPr>
        <w:t>Nutrition Policy</w:t>
      </w:r>
      <w:r w:rsidRPr="00EC2077">
        <w:t>. Retrieved from the Ontario Student Nutriti</w:t>
      </w:r>
      <w:r>
        <w:t>on Program website. Available online</w:t>
      </w:r>
      <w:r w:rsidRPr="00EC2077">
        <w:t xml:space="preserve">: </w:t>
      </w:r>
      <w:r w:rsidRPr="002D0194">
        <w:t>http://www.osnp.ca/menu.php?list=595&amp;page=135</w:t>
      </w:r>
      <w:r>
        <w:t>.</w:t>
      </w:r>
    </w:p>
    <w:p w14:paraId="3F25E687" w14:textId="092B4624" w:rsidR="00301519" w:rsidRDefault="00301519" w:rsidP="00B84CB5">
      <w:pPr>
        <w:pStyle w:val="EndnoteText"/>
        <w:ind w:firstLine="0"/>
      </w:pPr>
      <w:r>
        <w:t xml:space="preserve">And </w:t>
      </w:r>
      <w:r w:rsidRPr="00EC2077">
        <w:t>America</w:t>
      </w:r>
      <w:r>
        <w:t xml:space="preserve">n Dietetic Association et al., </w:t>
      </w:r>
      <w:r w:rsidRPr="00EC2077">
        <w:t>2003. Retrieved from the Ontario Student Nutriti</w:t>
      </w:r>
      <w:r>
        <w:t>on Program website. Available online</w:t>
      </w:r>
      <w:r w:rsidRPr="00EC2077">
        <w:t xml:space="preserve">: </w:t>
      </w:r>
      <w:r w:rsidRPr="005875C5">
        <w:t>http://www.osnp.ca/menu.php?list=595&amp;page=135</w:t>
      </w:r>
      <w:r>
        <w:t>.</w:t>
      </w:r>
    </w:p>
    <w:p w14:paraId="2C099D30" w14:textId="77777777" w:rsidR="00301519" w:rsidRDefault="00301519" w:rsidP="00B84CB5">
      <w:pPr>
        <w:pStyle w:val="EndnoteText"/>
        <w:ind w:firstLine="0"/>
      </w:pPr>
      <w:r>
        <w:t xml:space="preserve">And Toronto Public Health, 2012.  </w:t>
      </w:r>
      <w:r>
        <w:rPr>
          <w:i/>
        </w:rPr>
        <w:t>Nourishing Young Minds</w:t>
      </w:r>
      <w:r>
        <w:t xml:space="preserve">.  Available online: </w:t>
      </w:r>
      <w:r w:rsidRPr="005875C5">
        <w:t>http://www.toronto.ca/legdocs/mmis/2012/hl/bgrd/backgroundfile-48313.pdf</w:t>
      </w:r>
      <w:r>
        <w:t xml:space="preserve">. </w:t>
      </w:r>
      <w:r w:rsidRPr="00EC2077" w:rsidDel="00EC2077">
        <w:t xml:space="preserve"> </w:t>
      </w:r>
    </w:p>
  </w:endnote>
  <w:endnote w:id="6">
    <w:p w14:paraId="3EBA9374" w14:textId="60266CFE" w:rsidR="00301519" w:rsidRDefault="00301519" w:rsidP="00B57CC1">
      <w:pPr>
        <w:pStyle w:val="EndnoteText"/>
      </w:pPr>
      <w:r w:rsidRPr="00CC43C3">
        <w:rPr>
          <w:rStyle w:val="EndnoteReference"/>
        </w:rPr>
        <w:endnoteRef/>
      </w:r>
      <w:r w:rsidRPr="00CC43C3">
        <w:t xml:space="preserve"> </w:t>
      </w:r>
      <w:r>
        <w:tab/>
      </w:r>
      <w:r w:rsidRPr="00DA4F52">
        <w:t>Block, K., Gibbs L., Staiger, P.K., Gold, L., Johnson, B., Macfarlane S., Long, C. &amp; Townsend, M.</w:t>
      </w:r>
      <w:r>
        <w:t xml:space="preserve">, </w:t>
      </w:r>
      <w:r w:rsidRPr="00DA4F52">
        <w:t>2012. Growing community: The impact of the Stephanie Alexander Kitchen Garden Program on the social and learning environment in primary schools.</w:t>
      </w:r>
      <w:r>
        <w:t xml:space="preserve"> </w:t>
      </w:r>
      <w:r w:rsidRPr="00DA4F52">
        <w:t>"Health Education &amp; Behaviour 39(4), 419-432.</w:t>
      </w:r>
    </w:p>
    <w:p w14:paraId="22796A89" w14:textId="5E5CCDE5" w:rsidR="00301519" w:rsidRDefault="00301519" w:rsidP="00DA4F52">
      <w:pPr>
        <w:pStyle w:val="EndnoteText"/>
        <w:ind w:firstLine="0"/>
      </w:pPr>
      <w:r w:rsidRPr="00DA4F52">
        <w:t>Williams, D.R., &amp; Dixon, P.S.</w:t>
      </w:r>
      <w:r>
        <w:t xml:space="preserve">, </w:t>
      </w:r>
      <w:r w:rsidRPr="00DA4F52">
        <w:t>2013. Impact of garden-based learning on academic outcomes in schools: Synthesis of research between 1990 and 2010. Review of Education Research 83(2), 211-235.</w:t>
      </w:r>
    </w:p>
    <w:p w14:paraId="22123FEB" w14:textId="189B45ED" w:rsidR="00301519" w:rsidRDefault="00301519" w:rsidP="008E5A2B">
      <w:pPr>
        <w:pStyle w:val="EndnoteText"/>
        <w:ind w:firstLine="0"/>
      </w:pPr>
      <w:r>
        <w:t>California Department of Education, 2013. “</w:t>
      </w:r>
      <w:r w:rsidRPr="00DA4F52">
        <w:t>School Garden Program Overview</w:t>
      </w:r>
      <w:r>
        <w:t xml:space="preserve">”. Available online at: </w:t>
      </w:r>
      <w:r w:rsidRPr="00857973">
        <w:t>http://www.cde.ca.gov/ls/nu/he/gardenoverview.asp#top</w:t>
      </w:r>
      <w:r>
        <w:t xml:space="preserve"> (accessed May 29, 2014). </w:t>
      </w:r>
    </w:p>
    <w:p w14:paraId="1B92F194" w14:textId="7DCA9FD4" w:rsidR="00301519" w:rsidRDefault="00301519" w:rsidP="008E5A2B">
      <w:pPr>
        <w:pStyle w:val="EndnoteText"/>
        <w:ind w:firstLine="0"/>
      </w:pPr>
      <w:r>
        <w:t xml:space="preserve">A brief that compiles many of these studies has been produced by members of the University of California Garden-Based Learning Workgroup, February 2008.  “Reasons to Garden: School Gardens Improve Academic Performance”.  Available online: </w:t>
      </w:r>
      <w:r w:rsidRPr="00FD10E1">
        <w:t>ucanr.edu/sites/thevictorygrower/files/101533.doc</w:t>
      </w:r>
      <w:r>
        <w:t xml:space="preserve">. </w:t>
      </w:r>
    </w:p>
  </w:endnote>
  <w:endnote w:id="7">
    <w:p w14:paraId="07E0139B" w14:textId="14239023" w:rsidR="00301519" w:rsidRPr="00083A1C" w:rsidRDefault="00301519" w:rsidP="00B84CB5">
      <w:pPr>
        <w:pStyle w:val="EndnoteText"/>
      </w:pPr>
      <w:r>
        <w:rPr>
          <w:rStyle w:val="EndnoteReference"/>
        </w:rPr>
        <w:endnoteRef/>
      </w:r>
      <w:r>
        <w:t xml:space="preserve"> </w:t>
      </w:r>
      <w:r>
        <w:tab/>
      </w:r>
      <w:r w:rsidRPr="00083A1C">
        <w:t>Health Canada, 2010.</w:t>
      </w:r>
      <w:r>
        <w:t xml:space="preserve">  </w:t>
      </w:r>
      <w:r w:rsidRPr="005C0C0B">
        <w:t>“Improving cooking and food preparation skills: A synthesis of the evidence to inform program and policy development.</w:t>
      </w:r>
      <w:r>
        <w:t xml:space="preserve">  </w:t>
      </w:r>
      <w:r w:rsidRPr="005C0C0B">
        <w:t>Available online:</w:t>
      </w:r>
      <w:r>
        <w:t xml:space="preserve">  </w:t>
      </w:r>
      <w:r w:rsidRPr="00857973">
        <w:t>http://www.hc-sc.gc.ca/fn-an/nutrition/child-enfant/cfps-acc-synthes-eng.php</w:t>
      </w:r>
      <w:r>
        <w:t>.</w:t>
      </w:r>
    </w:p>
  </w:endnote>
  <w:endnote w:id="8">
    <w:p w14:paraId="3A5CDAA1" w14:textId="4AD8A6E9" w:rsidR="00301519" w:rsidRDefault="00301519" w:rsidP="00B84CB5">
      <w:pPr>
        <w:pStyle w:val="EndnoteText"/>
      </w:pPr>
      <w:r w:rsidRPr="00B2363D">
        <w:rPr>
          <w:rStyle w:val="EndnoteReference"/>
          <w:sz w:val="22"/>
          <w:szCs w:val="22"/>
        </w:rPr>
        <w:endnoteRef/>
      </w:r>
      <w:r>
        <w:t xml:space="preserve"> </w:t>
      </w:r>
      <w:r>
        <w:tab/>
        <w:t>FoodShare,</w:t>
      </w:r>
      <w:r w:rsidRPr="00A40587">
        <w:t xml:space="preserve"> 2010. “Ontario Online Polling Results.” Strategic Communications Inc. </w:t>
      </w:r>
    </w:p>
  </w:endnote>
  <w:endnote w:id="9">
    <w:p w14:paraId="173C2A9B" w14:textId="77777777" w:rsidR="00301519" w:rsidRPr="00083A1C" w:rsidRDefault="00301519" w:rsidP="00B84CB5">
      <w:pPr>
        <w:pStyle w:val="EndnoteText"/>
      </w:pPr>
      <w:r>
        <w:rPr>
          <w:rStyle w:val="EndnoteReference"/>
        </w:rPr>
        <w:endnoteRef/>
      </w:r>
      <w:r>
        <w:t xml:space="preserve"> </w:t>
      </w:r>
      <w:r>
        <w:tab/>
      </w:r>
      <w:r w:rsidRPr="00083A1C">
        <w:t xml:space="preserve">Wittman, Hannah, Annette Aurélie Desmarais &amp; Nettie Wiebe. </w:t>
      </w:r>
      <w:r>
        <w:t xml:space="preserve">2011. (eds.) Food Sovereignty </w:t>
      </w:r>
      <w:r w:rsidRPr="00083A1C">
        <w:t>in Canada: Creating Just and Sustainable Food Systems. Fernw</w:t>
      </w:r>
      <w:r>
        <w:t xml:space="preserve">ood Publishing: Black Point, </w:t>
      </w:r>
      <w:r w:rsidRPr="00083A1C">
        <w:t>N.S.</w:t>
      </w:r>
    </w:p>
  </w:endnote>
  <w:endnote w:id="10">
    <w:p w14:paraId="7A3B4729" w14:textId="1B458909" w:rsidR="00301519" w:rsidRPr="00083A1C" w:rsidRDefault="00301519" w:rsidP="00B84CB5">
      <w:pPr>
        <w:pStyle w:val="EndnoteText"/>
      </w:pPr>
      <w:r>
        <w:rPr>
          <w:rStyle w:val="EndnoteReference"/>
        </w:rPr>
        <w:endnoteRef/>
      </w:r>
      <w:r>
        <w:t xml:space="preserve"> </w:t>
      </w:r>
      <w:r>
        <w:tab/>
      </w:r>
      <w:r w:rsidRPr="00083A1C">
        <w:t>Waterlo</w:t>
      </w:r>
      <w:r>
        <w:t>o Region Food System Roundtable,</w:t>
      </w:r>
      <w:r w:rsidRPr="00083A1C">
        <w:t xml:space="preserve"> 2012. </w:t>
      </w:r>
      <w:r w:rsidRPr="00083A1C">
        <w:rPr>
          <w:i/>
        </w:rPr>
        <w:t xml:space="preserve">Priorities for Waterloo Region’s Food System. </w:t>
      </w:r>
      <w:r>
        <w:t>Available online:</w:t>
      </w:r>
      <w:r w:rsidRPr="00083A1C">
        <w:t xml:space="preserve"> http://www.wrfoodsystem.ca</w:t>
      </w:r>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0E600" w14:textId="77777777" w:rsidR="00AC1FC2" w:rsidRDefault="00AC1FC2" w:rsidP="00B84CB5">
      <w:r>
        <w:separator/>
      </w:r>
    </w:p>
  </w:footnote>
  <w:footnote w:type="continuationSeparator" w:id="0">
    <w:p w14:paraId="3BD74A23" w14:textId="77777777" w:rsidR="00AC1FC2" w:rsidRDefault="00AC1FC2" w:rsidP="00B84C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657B4"/>
    <w:multiLevelType w:val="hybridMultilevel"/>
    <w:tmpl w:val="B98E18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F3533AD"/>
    <w:multiLevelType w:val="hybridMultilevel"/>
    <w:tmpl w:val="5120A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E8526CD"/>
    <w:multiLevelType w:val="hybridMultilevel"/>
    <w:tmpl w:val="7B5856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EDB5022"/>
    <w:multiLevelType w:val="hybridMultilevel"/>
    <w:tmpl w:val="97EA90EA"/>
    <w:lvl w:ilvl="0" w:tplc="6338F0F6">
      <w:numFmt w:val="bullet"/>
      <w:lvlText w:val="•"/>
      <w:lvlJc w:val="left"/>
      <w:pPr>
        <w:ind w:left="927" w:hanging="360"/>
      </w:pPr>
      <w:rPr>
        <w:rFonts w:ascii="Calibri" w:eastAsia="Times New Roman" w:hAnsi="Calibri"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4">
    <w:nsid w:val="7A1F3CA9"/>
    <w:multiLevelType w:val="hybridMultilevel"/>
    <w:tmpl w:val="D3864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B5"/>
    <w:rsid w:val="00055374"/>
    <w:rsid w:val="000C4559"/>
    <w:rsid w:val="000F140C"/>
    <w:rsid w:val="00116667"/>
    <w:rsid w:val="00147CA8"/>
    <w:rsid w:val="00157F7A"/>
    <w:rsid w:val="001B04C2"/>
    <w:rsid w:val="001D65C6"/>
    <w:rsid w:val="00282FA7"/>
    <w:rsid w:val="00301519"/>
    <w:rsid w:val="0032218D"/>
    <w:rsid w:val="00363F8A"/>
    <w:rsid w:val="003A4464"/>
    <w:rsid w:val="00405E42"/>
    <w:rsid w:val="004709A6"/>
    <w:rsid w:val="004B6D33"/>
    <w:rsid w:val="00523BFE"/>
    <w:rsid w:val="00560327"/>
    <w:rsid w:val="005875C5"/>
    <w:rsid w:val="00685D30"/>
    <w:rsid w:val="006C4ED4"/>
    <w:rsid w:val="00717EFE"/>
    <w:rsid w:val="00821548"/>
    <w:rsid w:val="00844F6C"/>
    <w:rsid w:val="00857973"/>
    <w:rsid w:val="00864968"/>
    <w:rsid w:val="008740F7"/>
    <w:rsid w:val="00882E22"/>
    <w:rsid w:val="008E5A2B"/>
    <w:rsid w:val="00A14EA6"/>
    <w:rsid w:val="00A43D7A"/>
    <w:rsid w:val="00A552E4"/>
    <w:rsid w:val="00A770E0"/>
    <w:rsid w:val="00AA02D0"/>
    <w:rsid w:val="00AC1FC2"/>
    <w:rsid w:val="00AE2DE4"/>
    <w:rsid w:val="00AE3426"/>
    <w:rsid w:val="00AF38E4"/>
    <w:rsid w:val="00AF681E"/>
    <w:rsid w:val="00B57CC1"/>
    <w:rsid w:val="00B84CB5"/>
    <w:rsid w:val="00C27B87"/>
    <w:rsid w:val="00D200AE"/>
    <w:rsid w:val="00DA4F52"/>
    <w:rsid w:val="00E051B3"/>
    <w:rsid w:val="00E10D28"/>
    <w:rsid w:val="00E2298E"/>
    <w:rsid w:val="00E55732"/>
    <w:rsid w:val="00E61698"/>
    <w:rsid w:val="00E61B0A"/>
    <w:rsid w:val="00EF6F7D"/>
    <w:rsid w:val="00F4234A"/>
    <w:rsid w:val="00FD10E1"/>
    <w:rsid w:val="00FE3B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B188"/>
  <w15:chartTrackingRefBased/>
  <w15:docId w15:val="{D044DF56-4CF3-4EB1-BBBA-52D24E7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CB5"/>
    <w:pPr>
      <w:spacing w:after="0" w:line="240" w:lineRule="auto"/>
    </w:pPr>
    <w:rPr>
      <w:rFonts w:ascii="Times New Roman" w:hAnsi="Times New Roman" w:cs="Times New Roman"/>
      <w:sz w:val="24"/>
      <w:szCs w:val="24"/>
      <w:lang w:eastAsia="en-CA"/>
    </w:rPr>
  </w:style>
  <w:style w:type="paragraph" w:styleId="Heading1">
    <w:name w:val="heading 1"/>
    <w:basedOn w:val="Normal"/>
    <w:next w:val="Normal"/>
    <w:link w:val="Heading1Char"/>
    <w:uiPriority w:val="9"/>
    <w:qFormat/>
    <w:rsid w:val="00560327"/>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327"/>
    <w:rPr>
      <w:rFonts w:asciiTheme="majorHAnsi" w:eastAsiaTheme="majorEastAsia" w:hAnsiTheme="majorHAnsi" w:cstheme="majorBidi"/>
      <w:color w:val="2E74B5" w:themeColor="accent1" w:themeShade="BF"/>
      <w:sz w:val="32"/>
      <w:szCs w:val="32"/>
      <w:lang w:eastAsia="en-CA"/>
    </w:rPr>
  </w:style>
  <w:style w:type="character" w:styleId="Hyperlink">
    <w:name w:val="Hyperlink"/>
    <w:basedOn w:val="DefaultParagraphFont"/>
    <w:uiPriority w:val="99"/>
    <w:unhideWhenUsed/>
    <w:rsid w:val="00B84CB5"/>
    <w:rPr>
      <w:color w:val="0000FF"/>
      <w:u w:val="single"/>
    </w:rPr>
  </w:style>
  <w:style w:type="paragraph" w:styleId="ListParagraph">
    <w:name w:val="List Paragraph"/>
    <w:basedOn w:val="Normal"/>
    <w:uiPriority w:val="34"/>
    <w:qFormat/>
    <w:rsid w:val="00B84CB5"/>
    <w:pPr>
      <w:spacing w:before="120"/>
      <w:ind w:left="720"/>
    </w:pPr>
    <w:rPr>
      <w:rFonts w:asciiTheme="minorHAnsi" w:hAnsiTheme="minorHAnsi" w:cstheme="minorBidi"/>
      <w:sz w:val="22"/>
      <w:szCs w:val="22"/>
      <w:lang w:eastAsia="en-US"/>
    </w:rPr>
  </w:style>
  <w:style w:type="paragraph" w:styleId="FootnoteText">
    <w:name w:val="footnote text"/>
    <w:basedOn w:val="Normal"/>
    <w:link w:val="FootnoteTextChar"/>
    <w:uiPriority w:val="99"/>
    <w:semiHidden/>
    <w:unhideWhenUsed/>
    <w:qFormat/>
    <w:rsid w:val="00B84CB5"/>
    <w:pPr>
      <w:spacing w:after="120"/>
      <w:ind w:left="284" w:hanging="284"/>
    </w:pPr>
    <w:rPr>
      <w:rFonts w:asciiTheme="minorHAnsi" w:hAnsiTheme="minorHAnsi"/>
      <w:sz w:val="18"/>
      <w:szCs w:val="20"/>
    </w:rPr>
  </w:style>
  <w:style w:type="character" w:customStyle="1" w:styleId="FootnoteTextChar">
    <w:name w:val="Footnote Text Char"/>
    <w:basedOn w:val="DefaultParagraphFont"/>
    <w:link w:val="FootnoteText"/>
    <w:uiPriority w:val="99"/>
    <w:semiHidden/>
    <w:rsid w:val="00B84CB5"/>
    <w:rPr>
      <w:rFonts w:cs="Times New Roman"/>
      <w:sz w:val="18"/>
      <w:szCs w:val="20"/>
      <w:lang w:eastAsia="en-CA"/>
    </w:rPr>
  </w:style>
  <w:style w:type="character" w:styleId="FootnoteReference">
    <w:name w:val="footnote reference"/>
    <w:basedOn w:val="DefaultParagraphFont"/>
    <w:uiPriority w:val="99"/>
    <w:semiHidden/>
    <w:unhideWhenUsed/>
    <w:rsid w:val="00B84CB5"/>
    <w:rPr>
      <w:vertAlign w:val="superscript"/>
    </w:rPr>
  </w:style>
  <w:style w:type="paragraph" w:styleId="EndnoteText">
    <w:name w:val="endnote text"/>
    <w:basedOn w:val="Normal"/>
    <w:link w:val="EndnoteTextChar"/>
    <w:uiPriority w:val="99"/>
    <w:semiHidden/>
    <w:unhideWhenUsed/>
    <w:rsid w:val="000C4559"/>
    <w:pPr>
      <w:spacing w:after="120"/>
      <w:ind w:left="284" w:hanging="284"/>
    </w:pPr>
    <w:rPr>
      <w:rFonts w:asciiTheme="minorHAnsi" w:hAnsiTheme="minorHAnsi"/>
      <w:sz w:val="18"/>
      <w:szCs w:val="20"/>
    </w:rPr>
  </w:style>
  <w:style w:type="character" w:customStyle="1" w:styleId="EndnoteTextChar">
    <w:name w:val="Endnote Text Char"/>
    <w:basedOn w:val="DefaultParagraphFont"/>
    <w:link w:val="EndnoteText"/>
    <w:uiPriority w:val="99"/>
    <w:semiHidden/>
    <w:rsid w:val="000C4559"/>
    <w:rPr>
      <w:rFonts w:cs="Times New Roman"/>
      <w:sz w:val="18"/>
      <w:szCs w:val="20"/>
      <w:lang w:eastAsia="en-CA"/>
    </w:rPr>
  </w:style>
  <w:style w:type="character" w:styleId="EndnoteReference">
    <w:name w:val="endnote reference"/>
    <w:basedOn w:val="DefaultParagraphFont"/>
    <w:uiPriority w:val="99"/>
    <w:semiHidden/>
    <w:unhideWhenUsed/>
    <w:rsid w:val="000C4559"/>
    <w:rPr>
      <w:vertAlign w:val="superscript"/>
    </w:rPr>
  </w:style>
  <w:style w:type="character" w:styleId="CommentReference">
    <w:name w:val="annotation reference"/>
    <w:basedOn w:val="DefaultParagraphFont"/>
    <w:uiPriority w:val="99"/>
    <w:semiHidden/>
    <w:unhideWhenUsed/>
    <w:rsid w:val="00157F7A"/>
    <w:rPr>
      <w:sz w:val="16"/>
      <w:szCs w:val="16"/>
    </w:rPr>
  </w:style>
  <w:style w:type="paragraph" w:styleId="CommentText">
    <w:name w:val="annotation text"/>
    <w:basedOn w:val="Normal"/>
    <w:link w:val="CommentTextChar"/>
    <w:uiPriority w:val="99"/>
    <w:semiHidden/>
    <w:unhideWhenUsed/>
    <w:rsid w:val="00157F7A"/>
    <w:rPr>
      <w:sz w:val="20"/>
      <w:szCs w:val="20"/>
    </w:rPr>
  </w:style>
  <w:style w:type="character" w:customStyle="1" w:styleId="CommentTextChar">
    <w:name w:val="Comment Text Char"/>
    <w:basedOn w:val="DefaultParagraphFont"/>
    <w:link w:val="CommentText"/>
    <w:uiPriority w:val="99"/>
    <w:semiHidden/>
    <w:rsid w:val="00157F7A"/>
    <w:rPr>
      <w:rFonts w:ascii="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157F7A"/>
    <w:rPr>
      <w:b/>
      <w:bCs/>
    </w:rPr>
  </w:style>
  <w:style w:type="character" w:customStyle="1" w:styleId="CommentSubjectChar">
    <w:name w:val="Comment Subject Char"/>
    <w:basedOn w:val="CommentTextChar"/>
    <w:link w:val="CommentSubject"/>
    <w:uiPriority w:val="99"/>
    <w:semiHidden/>
    <w:rsid w:val="00157F7A"/>
    <w:rPr>
      <w:rFonts w:ascii="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157F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F7A"/>
    <w:rPr>
      <w:rFonts w:ascii="Segoe UI" w:hAnsi="Segoe UI" w:cs="Segoe UI"/>
      <w:sz w:val="18"/>
      <w:szCs w:val="1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755779">
      <w:bodyDiv w:val="1"/>
      <w:marLeft w:val="0"/>
      <w:marRight w:val="0"/>
      <w:marTop w:val="0"/>
      <w:marBottom w:val="0"/>
      <w:divBdr>
        <w:top w:val="none" w:sz="0" w:space="0" w:color="auto"/>
        <w:left w:val="none" w:sz="0" w:space="0" w:color="auto"/>
        <w:bottom w:val="none" w:sz="0" w:space="0" w:color="auto"/>
        <w:right w:val="none" w:sz="0" w:space="0" w:color="auto"/>
      </w:divBdr>
    </w:div>
    <w:div w:id="1977830264">
      <w:bodyDiv w:val="1"/>
      <w:marLeft w:val="0"/>
      <w:marRight w:val="0"/>
      <w:marTop w:val="0"/>
      <w:marBottom w:val="0"/>
      <w:divBdr>
        <w:top w:val="none" w:sz="0" w:space="0" w:color="auto"/>
        <w:left w:val="none" w:sz="0" w:space="0" w:color="auto"/>
        <w:bottom w:val="none" w:sz="0" w:space="0" w:color="auto"/>
        <w:right w:val="none" w:sz="0" w:space="0" w:color="auto"/>
      </w:divBdr>
      <w:divsChild>
        <w:div w:id="326589818">
          <w:marLeft w:val="0"/>
          <w:marRight w:val="0"/>
          <w:marTop w:val="0"/>
          <w:marBottom w:val="0"/>
          <w:divBdr>
            <w:top w:val="none" w:sz="0" w:space="0" w:color="auto"/>
            <w:left w:val="none" w:sz="0" w:space="0" w:color="auto"/>
            <w:bottom w:val="none" w:sz="0" w:space="0" w:color="auto"/>
            <w:right w:val="none" w:sz="0" w:space="0" w:color="auto"/>
          </w:divBdr>
        </w:div>
        <w:div w:id="939609992">
          <w:marLeft w:val="0"/>
          <w:marRight w:val="0"/>
          <w:marTop w:val="0"/>
          <w:marBottom w:val="0"/>
          <w:divBdr>
            <w:top w:val="none" w:sz="0" w:space="0" w:color="auto"/>
            <w:left w:val="none" w:sz="0" w:space="0" w:color="auto"/>
            <w:bottom w:val="none" w:sz="0" w:space="0" w:color="auto"/>
            <w:right w:val="none" w:sz="0" w:space="0" w:color="auto"/>
          </w:divBdr>
        </w:div>
        <w:div w:id="1143042238">
          <w:marLeft w:val="0"/>
          <w:marRight w:val="0"/>
          <w:marTop w:val="0"/>
          <w:marBottom w:val="0"/>
          <w:divBdr>
            <w:top w:val="none" w:sz="0" w:space="0" w:color="auto"/>
            <w:left w:val="none" w:sz="0" w:space="0" w:color="auto"/>
            <w:bottom w:val="none" w:sz="0" w:space="0" w:color="auto"/>
            <w:right w:val="none" w:sz="0" w:space="0" w:color="auto"/>
          </w:divBdr>
        </w:div>
        <w:div w:id="1543901421">
          <w:marLeft w:val="0"/>
          <w:marRight w:val="0"/>
          <w:marTop w:val="0"/>
          <w:marBottom w:val="0"/>
          <w:divBdr>
            <w:top w:val="none" w:sz="0" w:space="0" w:color="auto"/>
            <w:left w:val="none" w:sz="0" w:space="0" w:color="auto"/>
            <w:bottom w:val="none" w:sz="0" w:space="0" w:color="auto"/>
            <w:right w:val="none" w:sz="0" w:space="0" w:color="auto"/>
          </w:divBdr>
        </w:div>
        <w:div w:id="1738943384">
          <w:marLeft w:val="0"/>
          <w:marRight w:val="0"/>
          <w:marTop w:val="0"/>
          <w:marBottom w:val="0"/>
          <w:divBdr>
            <w:top w:val="none" w:sz="0" w:space="0" w:color="auto"/>
            <w:left w:val="none" w:sz="0" w:space="0" w:color="auto"/>
            <w:bottom w:val="none" w:sz="0" w:space="0" w:color="auto"/>
            <w:right w:val="none" w:sz="0" w:space="0" w:color="auto"/>
          </w:divBdr>
        </w:div>
        <w:div w:id="43061547">
          <w:marLeft w:val="0"/>
          <w:marRight w:val="0"/>
          <w:marTop w:val="0"/>
          <w:marBottom w:val="0"/>
          <w:divBdr>
            <w:top w:val="none" w:sz="0" w:space="0" w:color="auto"/>
            <w:left w:val="none" w:sz="0" w:space="0" w:color="auto"/>
            <w:bottom w:val="none" w:sz="0" w:space="0" w:color="auto"/>
            <w:right w:val="none" w:sz="0" w:space="0" w:color="auto"/>
          </w:divBdr>
        </w:div>
        <w:div w:id="898370777">
          <w:marLeft w:val="0"/>
          <w:marRight w:val="0"/>
          <w:marTop w:val="0"/>
          <w:marBottom w:val="0"/>
          <w:divBdr>
            <w:top w:val="none" w:sz="0" w:space="0" w:color="auto"/>
            <w:left w:val="none" w:sz="0" w:space="0" w:color="auto"/>
            <w:bottom w:val="none" w:sz="0" w:space="0" w:color="auto"/>
            <w:right w:val="none" w:sz="0" w:space="0" w:color="auto"/>
          </w:divBdr>
        </w:div>
        <w:div w:id="2111855763">
          <w:marLeft w:val="0"/>
          <w:marRight w:val="0"/>
          <w:marTop w:val="0"/>
          <w:marBottom w:val="0"/>
          <w:divBdr>
            <w:top w:val="none" w:sz="0" w:space="0" w:color="auto"/>
            <w:left w:val="none" w:sz="0" w:space="0" w:color="auto"/>
            <w:bottom w:val="none" w:sz="0" w:space="0" w:color="auto"/>
            <w:right w:val="none" w:sz="0" w:space="0" w:color="auto"/>
          </w:divBdr>
        </w:div>
        <w:div w:id="341708751">
          <w:marLeft w:val="0"/>
          <w:marRight w:val="0"/>
          <w:marTop w:val="0"/>
          <w:marBottom w:val="0"/>
          <w:divBdr>
            <w:top w:val="none" w:sz="0" w:space="0" w:color="auto"/>
            <w:left w:val="none" w:sz="0" w:space="0" w:color="auto"/>
            <w:bottom w:val="none" w:sz="0" w:space="0" w:color="auto"/>
            <w:right w:val="none" w:sz="0" w:space="0" w:color="auto"/>
          </w:divBdr>
        </w:div>
        <w:div w:id="167719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B2E7C-A779-452D-909E-EEB950D4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dc:creator>
  <cp:keywords/>
  <dc:description/>
  <cp:lastModifiedBy>Carolyn</cp:lastModifiedBy>
  <cp:revision>4</cp:revision>
  <dcterms:created xsi:type="dcterms:W3CDTF">2014-07-29T13:36:00Z</dcterms:created>
  <dcterms:modified xsi:type="dcterms:W3CDTF">2014-07-29T13:47:00Z</dcterms:modified>
</cp:coreProperties>
</file>