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19640" w14:textId="366C2A6A" w:rsidR="00B7387D" w:rsidRDefault="00B51288" w:rsidP="00B51288">
      <w:pPr>
        <w:jc w:val="center"/>
        <w:rPr>
          <w:rFonts w:cs="Times New Roman"/>
          <w:b/>
          <w:bCs/>
          <w:sz w:val="28"/>
          <w:szCs w:val="28"/>
        </w:rPr>
      </w:pPr>
      <w:r>
        <w:rPr>
          <w:noProof/>
          <w:lang w:val="en-CA" w:eastAsia="en-CA"/>
        </w:rPr>
        <w:drawing>
          <wp:anchor distT="0" distB="0" distL="114300" distR="114300" simplePos="0" relativeHeight="251658240" behindDoc="0" locked="0" layoutInCell="1" allowOverlap="1" wp14:anchorId="03CDD3F2" wp14:editId="0621ADC6">
            <wp:simplePos x="0" y="0"/>
            <wp:positionH relativeFrom="margin">
              <wp:posOffset>19050</wp:posOffset>
            </wp:positionH>
            <wp:positionV relativeFrom="paragraph">
              <wp:posOffset>-228600</wp:posOffset>
            </wp:positionV>
            <wp:extent cx="3105150" cy="111379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5150" cy="11137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59264" behindDoc="0" locked="0" layoutInCell="1" allowOverlap="1" wp14:anchorId="26ECF51B" wp14:editId="6EA3E7A4">
            <wp:simplePos x="0" y="0"/>
            <wp:positionH relativeFrom="column">
              <wp:posOffset>3638550</wp:posOffset>
            </wp:positionH>
            <wp:positionV relativeFrom="paragraph">
              <wp:posOffset>-180975</wp:posOffset>
            </wp:positionV>
            <wp:extent cx="2047875" cy="10674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EN_Logo_CMYK.png"/>
                    <pic:cNvPicPr/>
                  </pic:nvPicPr>
                  <pic:blipFill>
                    <a:blip r:embed="rId10">
                      <a:extLst>
                        <a:ext uri="{28A0092B-C50C-407E-A947-70E740481C1C}">
                          <a14:useLocalDpi xmlns:a14="http://schemas.microsoft.com/office/drawing/2010/main" val="0"/>
                        </a:ext>
                      </a:extLst>
                    </a:blip>
                    <a:stretch>
                      <a:fillRect/>
                    </a:stretch>
                  </pic:blipFill>
                  <pic:spPr>
                    <a:xfrm>
                      <a:off x="0" y="0"/>
                      <a:ext cx="2047875" cy="1067435"/>
                    </a:xfrm>
                    <a:prstGeom prst="rect">
                      <a:avLst/>
                    </a:prstGeom>
                  </pic:spPr>
                </pic:pic>
              </a:graphicData>
            </a:graphic>
            <wp14:sizeRelH relativeFrom="page">
              <wp14:pctWidth>0</wp14:pctWidth>
            </wp14:sizeRelH>
            <wp14:sizeRelV relativeFrom="page">
              <wp14:pctHeight>0</wp14:pctHeight>
            </wp14:sizeRelV>
          </wp:anchor>
        </w:drawing>
      </w:r>
    </w:p>
    <w:p w14:paraId="5E0DFF92" w14:textId="77777777" w:rsidR="00B7387D" w:rsidRDefault="00B7387D" w:rsidP="00E02FA7">
      <w:pPr>
        <w:jc w:val="center"/>
        <w:rPr>
          <w:rFonts w:cs="Times New Roman"/>
          <w:b/>
          <w:bCs/>
          <w:sz w:val="28"/>
          <w:szCs w:val="28"/>
        </w:rPr>
      </w:pPr>
    </w:p>
    <w:p w14:paraId="5A127AA6" w14:textId="77777777" w:rsidR="00B7387D" w:rsidRDefault="00B7387D" w:rsidP="00E02FA7">
      <w:pPr>
        <w:jc w:val="center"/>
        <w:rPr>
          <w:rFonts w:cs="Times New Roman"/>
          <w:b/>
          <w:bCs/>
          <w:sz w:val="28"/>
          <w:szCs w:val="28"/>
        </w:rPr>
      </w:pPr>
    </w:p>
    <w:p w14:paraId="46A07661" w14:textId="77777777" w:rsidR="00B7387D" w:rsidRDefault="00B7387D" w:rsidP="00E02FA7">
      <w:pPr>
        <w:jc w:val="center"/>
        <w:rPr>
          <w:rFonts w:cs="Times New Roman"/>
          <w:b/>
          <w:bCs/>
          <w:sz w:val="28"/>
          <w:szCs w:val="28"/>
        </w:rPr>
      </w:pPr>
    </w:p>
    <w:p w14:paraId="3902F887" w14:textId="77777777" w:rsidR="00B51288" w:rsidRDefault="00B51288" w:rsidP="00E02FA7">
      <w:pPr>
        <w:jc w:val="center"/>
        <w:rPr>
          <w:b/>
          <w:bCs/>
          <w:sz w:val="28"/>
          <w:szCs w:val="28"/>
        </w:rPr>
      </w:pPr>
    </w:p>
    <w:p w14:paraId="420528FD" w14:textId="77777777" w:rsidR="00B51288" w:rsidRDefault="00B51288" w:rsidP="00E02FA7">
      <w:pPr>
        <w:jc w:val="center"/>
        <w:rPr>
          <w:b/>
          <w:bCs/>
          <w:sz w:val="28"/>
          <w:szCs w:val="28"/>
        </w:rPr>
      </w:pPr>
    </w:p>
    <w:p w14:paraId="14EA3E88" w14:textId="059D4BB0" w:rsidR="00B7387D" w:rsidRDefault="00B7387D" w:rsidP="00E02FA7">
      <w:pPr>
        <w:jc w:val="center"/>
        <w:rPr>
          <w:b/>
          <w:bCs/>
          <w:sz w:val="28"/>
          <w:szCs w:val="28"/>
        </w:rPr>
      </w:pPr>
      <w:r>
        <w:rPr>
          <w:b/>
          <w:bCs/>
          <w:sz w:val="28"/>
          <w:szCs w:val="28"/>
        </w:rPr>
        <w:t>Backgrounder on Food Literacy</w:t>
      </w:r>
      <w:r w:rsidR="00941947">
        <w:rPr>
          <w:b/>
          <w:bCs/>
          <w:sz w:val="28"/>
          <w:szCs w:val="28"/>
        </w:rPr>
        <w:t>,</w:t>
      </w:r>
      <w:r w:rsidR="00B97240">
        <w:rPr>
          <w:b/>
          <w:bCs/>
          <w:sz w:val="28"/>
          <w:szCs w:val="28"/>
        </w:rPr>
        <w:t xml:space="preserve"> </w:t>
      </w:r>
      <w:r w:rsidR="009D1EAA">
        <w:rPr>
          <w:b/>
          <w:bCs/>
          <w:sz w:val="28"/>
          <w:szCs w:val="28"/>
        </w:rPr>
        <w:t>Food Security</w:t>
      </w:r>
      <w:bookmarkStart w:id="0" w:name="_GoBack"/>
      <w:bookmarkEnd w:id="0"/>
      <w:r w:rsidR="00941947">
        <w:rPr>
          <w:b/>
          <w:bCs/>
          <w:sz w:val="28"/>
          <w:szCs w:val="28"/>
        </w:rPr>
        <w:t xml:space="preserve">, and Local </w:t>
      </w:r>
      <w:r w:rsidR="00112B0B">
        <w:rPr>
          <w:b/>
          <w:bCs/>
          <w:sz w:val="28"/>
          <w:szCs w:val="28"/>
        </w:rPr>
        <w:t xml:space="preserve">Food </w:t>
      </w:r>
      <w:r w:rsidR="00941947">
        <w:rPr>
          <w:b/>
          <w:bCs/>
          <w:sz w:val="28"/>
          <w:szCs w:val="28"/>
        </w:rPr>
        <w:t>Procurement</w:t>
      </w:r>
      <w:r>
        <w:rPr>
          <w:b/>
          <w:bCs/>
          <w:sz w:val="28"/>
          <w:szCs w:val="28"/>
        </w:rPr>
        <w:t xml:space="preserve"> </w:t>
      </w:r>
      <w:r w:rsidRPr="00BA79C9">
        <w:rPr>
          <w:b/>
          <w:bCs/>
          <w:sz w:val="28"/>
          <w:szCs w:val="28"/>
        </w:rPr>
        <w:t xml:space="preserve">in </w:t>
      </w:r>
      <w:r w:rsidR="00BA5A26">
        <w:rPr>
          <w:b/>
          <w:bCs/>
          <w:sz w:val="28"/>
          <w:szCs w:val="28"/>
        </w:rPr>
        <w:t xml:space="preserve">Ontario’s </w:t>
      </w:r>
      <w:r w:rsidRPr="00BA79C9">
        <w:rPr>
          <w:b/>
          <w:bCs/>
          <w:sz w:val="28"/>
          <w:szCs w:val="28"/>
        </w:rPr>
        <w:t>Schools</w:t>
      </w:r>
    </w:p>
    <w:p w14:paraId="3D3AF017" w14:textId="77777777" w:rsidR="00551B1F" w:rsidRDefault="00551B1F" w:rsidP="00E02FA7">
      <w:pPr>
        <w:jc w:val="center"/>
        <w:rPr>
          <w:rFonts w:cs="Times New Roman"/>
          <w:b/>
          <w:bCs/>
          <w:sz w:val="28"/>
          <w:szCs w:val="28"/>
        </w:rPr>
      </w:pPr>
    </w:p>
    <w:p w14:paraId="796DB255" w14:textId="77777777" w:rsidR="00B7387D" w:rsidRPr="00BA79C9" w:rsidRDefault="00B10D71" w:rsidP="00E02FA7">
      <w:pPr>
        <w:jc w:val="center"/>
        <w:rPr>
          <w:rFonts w:cs="Times New Roman"/>
          <w:b/>
          <w:bCs/>
          <w:sz w:val="28"/>
          <w:szCs w:val="28"/>
        </w:rPr>
      </w:pPr>
      <w:r w:rsidRPr="0051323D">
        <w:rPr>
          <w:b/>
          <w:bCs/>
          <w:sz w:val="28"/>
          <w:szCs w:val="28"/>
        </w:rPr>
        <w:t xml:space="preserve">October </w:t>
      </w:r>
      <w:r w:rsidR="00B7387D" w:rsidRPr="0051323D">
        <w:rPr>
          <w:b/>
          <w:bCs/>
          <w:sz w:val="28"/>
          <w:szCs w:val="28"/>
        </w:rPr>
        <w:t>201</w:t>
      </w:r>
      <w:r w:rsidRPr="0051323D">
        <w:rPr>
          <w:b/>
          <w:bCs/>
          <w:sz w:val="28"/>
          <w:szCs w:val="28"/>
        </w:rPr>
        <w:t>3</w:t>
      </w:r>
    </w:p>
    <w:p w14:paraId="005F594C" w14:textId="77777777" w:rsidR="00B7387D" w:rsidRDefault="00B7387D" w:rsidP="00F4203C">
      <w:pPr>
        <w:rPr>
          <w:rFonts w:cs="Times New Roman"/>
        </w:rPr>
      </w:pPr>
    </w:p>
    <w:p w14:paraId="64F17A2B" w14:textId="77777777" w:rsidR="00B7387D" w:rsidRPr="002853B0" w:rsidRDefault="00B7387D" w:rsidP="002853B0">
      <w:pPr>
        <w:spacing w:after="120"/>
        <w:rPr>
          <w:b/>
          <w:bCs/>
          <w:u w:val="single"/>
        </w:rPr>
      </w:pPr>
      <w:r w:rsidRPr="002853B0">
        <w:rPr>
          <w:b/>
          <w:bCs/>
          <w:u w:val="single"/>
        </w:rPr>
        <w:t>Introduction</w:t>
      </w:r>
    </w:p>
    <w:p w14:paraId="1EE8C15B" w14:textId="35065B03" w:rsidR="00B97240" w:rsidRDefault="002B6E1C" w:rsidP="00670C4A">
      <w:r w:rsidRPr="002B6E1C">
        <w:t xml:space="preserve">This backgrounder </w:t>
      </w:r>
      <w:r w:rsidR="00EC01A1">
        <w:t>presents</w:t>
      </w:r>
      <w:r w:rsidR="002E10F0">
        <w:t xml:space="preserve"> how </w:t>
      </w:r>
      <w:r w:rsidR="000F393B">
        <w:t>a</w:t>
      </w:r>
      <w:r w:rsidR="002E10F0">
        <w:t>n</w:t>
      </w:r>
      <w:r w:rsidR="0050261E">
        <w:t xml:space="preserve"> integrated approach to addressing </w:t>
      </w:r>
      <w:r w:rsidRPr="002B6E1C">
        <w:t>food literacy</w:t>
      </w:r>
      <w:r w:rsidR="000F393B">
        <w:t xml:space="preserve"> and</w:t>
      </w:r>
      <w:r w:rsidRPr="002B6E1C">
        <w:t xml:space="preserve"> </w:t>
      </w:r>
      <w:r w:rsidR="0050261E">
        <w:t>food security</w:t>
      </w:r>
      <w:r w:rsidR="000F393B">
        <w:t xml:space="preserve"> in </w:t>
      </w:r>
      <w:r w:rsidR="002E10F0">
        <w:t xml:space="preserve">Ontario’s </w:t>
      </w:r>
      <w:r w:rsidR="000F393B">
        <w:t>schools</w:t>
      </w:r>
      <w:r w:rsidR="007E1F61">
        <w:t xml:space="preserve"> w</w:t>
      </w:r>
      <w:r w:rsidR="002E10F0">
        <w:t xml:space="preserve">ould provide a broad range of </w:t>
      </w:r>
      <w:r w:rsidR="007E1F61">
        <w:t xml:space="preserve">health, economic, educational, and other </w:t>
      </w:r>
      <w:r w:rsidR="002E10F0">
        <w:t>benefits</w:t>
      </w:r>
      <w:r w:rsidR="00CF3FE8">
        <w:t>.  Specifically</w:t>
      </w:r>
      <w:r w:rsidR="00BA5A26">
        <w:t>, taking a whole-school approach to healthy eating and ensuring that</w:t>
      </w:r>
      <w:r w:rsidR="00CF3FE8">
        <w:t xml:space="preserve"> food litera</w:t>
      </w:r>
      <w:r w:rsidR="00BA5A26">
        <w:t>cy and local food procurement complement</w:t>
      </w:r>
      <w:r w:rsidR="00CF3FE8">
        <w:t xml:space="preserve"> the </w:t>
      </w:r>
      <w:r w:rsidR="00B97240">
        <w:t xml:space="preserve">existing </w:t>
      </w:r>
      <w:r w:rsidR="00CF3FE8">
        <w:t>Ontario Student Nutrition Program</w:t>
      </w:r>
      <w:r w:rsidR="00B97240">
        <w:t xml:space="preserve"> would support the wellbeing of children and youth</w:t>
      </w:r>
      <w:r w:rsidR="00BA5A26">
        <w:t>,</w:t>
      </w:r>
      <w:r w:rsidR="00B97240">
        <w:t xml:space="preserve"> and advance the Government of Ontario’s policy priorities</w:t>
      </w:r>
    </w:p>
    <w:p w14:paraId="624E79FA" w14:textId="77777777" w:rsidR="000F393B" w:rsidRDefault="000F393B" w:rsidP="00670C4A"/>
    <w:p w14:paraId="77AA5551" w14:textId="53FFF641" w:rsidR="00B97240" w:rsidRDefault="00B97240" w:rsidP="00670C4A">
      <w:r>
        <w:t xml:space="preserve">The </w:t>
      </w:r>
      <w:r w:rsidR="0030542D">
        <w:t xml:space="preserve">recommendations in this </w:t>
      </w:r>
      <w:r>
        <w:t xml:space="preserve">backgrounder </w:t>
      </w:r>
      <w:r w:rsidR="0030542D">
        <w:t>have been written for consideration by Ontario policy makers.  The</w:t>
      </w:r>
      <w:r w:rsidR="00112B0B">
        <w:t xml:space="preserve"> paper is</w:t>
      </w:r>
      <w:r w:rsidR="0030542D">
        <w:t xml:space="preserve"> also intended to support and lend ideas to the many on-the-ground initiatives taking place across the province that </w:t>
      </w:r>
      <w:r w:rsidR="00BA5A26">
        <w:t>aim to advance</w:t>
      </w:r>
      <w:r w:rsidR="0030542D">
        <w:t xml:space="preserve"> </w:t>
      </w:r>
      <w:r w:rsidR="00BA5A26">
        <w:t xml:space="preserve">one or more of </w:t>
      </w:r>
      <w:r w:rsidR="00483C5A">
        <w:t>the document’s interrelated themes</w:t>
      </w:r>
      <w:r w:rsidR="0030542D">
        <w:t>.</w:t>
      </w:r>
    </w:p>
    <w:p w14:paraId="5C97FB09" w14:textId="77777777" w:rsidR="00B97240" w:rsidRDefault="00B97240" w:rsidP="00670C4A"/>
    <w:p w14:paraId="4D8676CA" w14:textId="77777777" w:rsidR="00483C5A" w:rsidRPr="002853B0" w:rsidRDefault="00BA5A26" w:rsidP="00792842">
      <w:pPr>
        <w:spacing w:before="120" w:after="120"/>
        <w:rPr>
          <w:b/>
          <w:u w:val="single"/>
        </w:rPr>
      </w:pPr>
      <w:r>
        <w:rPr>
          <w:b/>
          <w:u w:val="single"/>
        </w:rPr>
        <w:t>Our</w:t>
      </w:r>
      <w:r w:rsidR="00483C5A" w:rsidRPr="002853B0">
        <w:rPr>
          <w:b/>
          <w:u w:val="single"/>
        </w:rPr>
        <w:t xml:space="preserve"> </w:t>
      </w:r>
      <w:r w:rsidR="00E8362A">
        <w:rPr>
          <w:b/>
          <w:u w:val="single"/>
        </w:rPr>
        <w:t>Current</w:t>
      </w:r>
      <w:r w:rsidR="00483C5A" w:rsidRPr="002853B0">
        <w:rPr>
          <w:b/>
          <w:u w:val="single"/>
        </w:rPr>
        <w:t xml:space="preserve"> Opportunity</w:t>
      </w:r>
    </w:p>
    <w:p w14:paraId="3A87FA27" w14:textId="77777777" w:rsidR="00D34665" w:rsidRDefault="00D34665" w:rsidP="00670C4A">
      <w:r>
        <w:t>Citizens and government</w:t>
      </w:r>
      <w:r w:rsidR="004D70A4">
        <w:t>s across</w:t>
      </w:r>
      <w:r>
        <w:t xml:space="preserve"> </w:t>
      </w:r>
      <w:r w:rsidR="00BA5A26">
        <w:t>Ontario</w:t>
      </w:r>
      <w:r>
        <w:t xml:space="preserve"> are currently working to address a host of interrelated challenges: </w:t>
      </w:r>
    </w:p>
    <w:p w14:paraId="0D946AAF" w14:textId="56D2B67D" w:rsidR="00D34665" w:rsidRDefault="00112B0B" w:rsidP="004D70A4">
      <w:pPr>
        <w:pStyle w:val="ListParagraph"/>
        <w:numPr>
          <w:ilvl w:val="0"/>
          <w:numId w:val="11"/>
        </w:numPr>
        <w:spacing w:before="120"/>
        <w:ind w:left="714" w:hanging="357"/>
        <w:contextualSpacing w:val="0"/>
      </w:pPr>
      <w:r>
        <w:t xml:space="preserve">With </w:t>
      </w:r>
      <w:r w:rsidR="00BE4954">
        <w:t xml:space="preserve">more than a quarter </w:t>
      </w:r>
      <w:r w:rsidR="00D34665">
        <w:t xml:space="preserve">of children between the ages </w:t>
      </w:r>
      <w:r w:rsidR="007727FD">
        <w:t>of 2</w:t>
      </w:r>
      <w:r w:rsidR="00D34665">
        <w:t xml:space="preserve"> and </w:t>
      </w:r>
      <w:r w:rsidR="007727FD">
        <w:t>17</w:t>
      </w:r>
      <w:r w:rsidR="00D34665">
        <w:t xml:space="preserve"> overweight in Ontario, increasing numbers of youth are at risk of developing respiratory disorders, orthopedic conditions,</w:t>
      </w:r>
      <w:r w:rsidR="00D10DF3">
        <w:t xml:space="preserve"> cancer, heart disease, adult diabetes,</w:t>
      </w:r>
      <w:r w:rsidR="00D34665">
        <w:t xml:space="preserve"> high cholesterol and t</w:t>
      </w:r>
      <w:r w:rsidR="004D70A4">
        <w:t>ype 2 diabetes</w:t>
      </w:r>
      <w:r w:rsidR="00D34665">
        <w:t xml:space="preserve">. </w:t>
      </w:r>
    </w:p>
    <w:p w14:paraId="11CD7E1D" w14:textId="77777777" w:rsidR="00D34665" w:rsidRDefault="004D70A4" w:rsidP="004D70A4">
      <w:pPr>
        <w:pStyle w:val="ListParagraph"/>
        <w:numPr>
          <w:ilvl w:val="0"/>
          <w:numId w:val="11"/>
        </w:numPr>
        <w:spacing w:before="120"/>
        <w:ind w:left="714" w:hanging="357"/>
        <w:contextualSpacing w:val="0"/>
      </w:pPr>
      <w:r>
        <w:t xml:space="preserve">For many students, </w:t>
      </w:r>
      <w:r w:rsidR="00D34665">
        <w:t>breakfasts, snacks or lunches provided by student nutrition programs are the only meal or the only healthy meal eat</w:t>
      </w:r>
      <w:r w:rsidR="00BA5A26">
        <w:t>en</w:t>
      </w:r>
      <w:r w:rsidR="00D34665">
        <w:t xml:space="preserve"> during the day. </w:t>
      </w:r>
    </w:p>
    <w:p w14:paraId="136BDD67" w14:textId="77777777" w:rsidR="00D34665" w:rsidRPr="00301066" w:rsidRDefault="00BA5A26" w:rsidP="004D70A4">
      <w:pPr>
        <w:pStyle w:val="ListParagraph"/>
        <w:numPr>
          <w:ilvl w:val="0"/>
          <w:numId w:val="11"/>
        </w:numPr>
        <w:spacing w:before="120"/>
        <w:ind w:left="714" w:hanging="357"/>
        <w:contextualSpacing w:val="0"/>
      </w:pPr>
      <w:r>
        <w:t>L</w:t>
      </w:r>
      <w:r w:rsidR="00D34665" w:rsidRPr="00D34665">
        <w:rPr>
          <w:lang w:val="en-CA"/>
        </w:rPr>
        <w:t xml:space="preserve">ack of self-efficacy and food skills are barriers to </w:t>
      </w:r>
      <w:r w:rsidR="004D70A4">
        <w:rPr>
          <w:lang w:val="en-CA"/>
        </w:rPr>
        <w:t xml:space="preserve">making </w:t>
      </w:r>
      <w:r w:rsidR="00D34665" w:rsidRPr="00D34665">
        <w:rPr>
          <w:lang w:val="en-CA"/>
        </w:rPr>
        <w:t xml:space="preserve">healthy food choices.  </w:t>
      </w:r>
    </w:p>
    <w:p w14:paraId="2C197B1B" w14:textId="7B689D22" w:rsidR="00D34665" w:rsidRDefault="00874B42" w:rsidP="004D70A4">
      <w:pPr>
        <w:pStyle w:val="ListParagraph"/>
        <w:numPr>
          <w:ilvl w:val="0"/>
          <w:numId w:val="11"/>
        </w:numPr>
        <w:spacing w:before="120"/>
        <w:ind w:left="714" w:hanging="357"/>
        <w:contextualSpacing w:val="0"/>
      </w:pPr>
      <w:r>
        <w:rPr>
          <w:lang w:val="en-CA"/>
        </w:rPr>
        <w:t>Small- and medium-sized farmers face significant threats to their livelihood, which has economic impacts across the province.</w:t>
      </w:r>
    </w:p>
    <w:p w14:paraId="6894879C" w14:textId="77777777" w:rsidR="00D34665" w:rsidRDefault="00D34665" w:rsidP="00670C4A"/>
    <w:p w14:paraId="25234C7B" w14:textId="60B80E4B" w:rsidR="00207219" w:rsidRDefault="004D70A4" w:rsidP="00670C4A">
      <w:r>
        <w:t xml:space="preserve">In recent months the Government of Ontario has </w:t>
      </w:r>
      <w:r w:rsidR="002A012E">
        <w:t xml:space="preserve">been </w:t>
      </w:r>
      <w:r w:rsidR="00874B42">
        <w:t xml:space="preserve">developing </w:t>
      </w:r>
      <w:r w:rsidR="002A012E">
        <w:t xml:space="preserve">a number of </w:t>
      </w:r>
      <w:r w:rsidR="00B97240">
        <w:t xml:space="preserve">policy </w:t>
      </w:r>
      <w:r w:rsidR="002A012E">
        <w:t xml:space="preserve">approaches to </w:t>
      </w:r>
      <w:r w:rsidR="00F902E2">
        <w:t xml:space="preserve">support </w:t>
      </w:r>
      <w:r w:rsidR="002A012E">
        <w:t xml:space="preserve">these issues </w:t>
      </w:r>
      <w:r w:rsidR="00874B42">
        <w:t>including</w:t>
      </w:r>
      <w:r w:rsidR="002A012E">
        <w:t xml:space="preserve"> (a) the renewal of the </w:t>
      </w:r>
      <w:r w:rsidR="000F393B">
        <w:t xml:space="preserve">Ontario Poverty Reduction Strategy, </w:t>
      </w:r>
      <w:r w:rsidR="002A012E">
        <w:t xml:space="preserve">(b) the </w:t>
      </w:r>
      <w:r w:rsidR="002E10F0">
        <w:t xml:space="preserve">Healthy Kids Panel </w:t>
      </w:r>
      <w:r w:rsidR="002A012E">
        <w:t>report and recommendations, (c) the proposed Local Food Act, and (d) building the next p</w:t>
      </w:r>
      <w:r w:rsidR="002A012E" w:rsidRPr="002A012E">
        <w:t>hase in Ontario's Education Strategy</w:t>
      </w:r>
      <w:r w:rsidR="002A012E">
        <w:t xml:space="preserve">.  </w:t>
      </w:r>
    </w:p>
    <w:p w14:paraId="04294F91" w14:textId="77777777" w:rsidR="000F393B" w:rsidRDefault="002A012E" w:rsidP="00670C4A">
      <w:r>
        <w:lastRenderedPageBreak/>
        <w:t xml:space="preserve">This </w:t>
      </w:r>
      <w:r w:rsidR="00F902E2">
        <w:t xml:space="preserve">moment </w:t>
      </w:r>
      <w:r>
        <w:t>pr</w:t>
      </w:r>
      <w:r w:rsidR="00A23D7C">
        <w:t>ovides</w:t>
      </w:r>
      <w:r>
        <w:t xml:space="preserve"> a unique window in time for the Government to develop an integrated approach to the challenges facing our province</w:t>
      </w:r>
      <w:r w:rsidR="00301066">
        <w:t xml:space="preserve"> and to </w:t>
      </w:r>
      <w:r w:rsidR="00207219">
        <w:t xml:space="preserve">support the future health and wellbeing of today’s </w:t>
      </w:r>
      <w:r w:rsidR="00301066">
        <w:t>children and youth</w:t>
      </w:r>
      <w:r>
        <w:t xml:space="preserve">. </w:t>
      </w:r>
    </w:p>
    <w:p w14:paraId="3FDE1204" w14:textId="77777777" w:rsidR="000F393B" w:rsidRDefault="000F393B" w:rsidP="00670C4A"/>
    <w:p w14:paraId="456600F7" w14:textId="55D7A02E" w:rsidR="00B97240" w:rsidRPr="00E8362A" w:rsidRDefault="00B97240" w:rsidP="00792842">
      <w:pPr>
        <w:spacing w:before="120" w:after="120"/>
        <w:rPr>
          <w:b/>
          <w:u w:val="single"/>
        </w:rPr>
      </w:pPr>
      <w:r w:rsidRPr="00E8362A">
        <w:rPr>
          <w:b/>
          <w:u w:val="single"/>
        </w:rPr>
        <w:t xml:space="preserve">Defining </w:t>
      </w:r>
      <w:r w:rsidR="00874B42" w:rsidRPr="00E8362A">
        <w:rPr>
          <w:b/>
          <w:u w:val="single"/>
        </w:rPr>
        <w:t xml:space="preserve">Student Nutrition Programs </w:t>
      </w:r>
      <w:r w:rsidR="00874B42">
        <w:rPr>
          <w:b/>
          <w:u w:val="single"/>
        </w:rPr>
        <w:t xml:space="preserve">and </w:t>
      </w:r>
      <w:r w:rsidRPr="00E8362A">
        <w:rPr>
          <w:b/>
          <w:u w:val="single"/>
        </w:rPr>
        <w:t xml:space="preserve">Food Literacy </w:t>
      </w:r>
    </w:p>
    <w:p w14:paraId="5C06EC38" w14:textId="77777777" w:rsidR="00874B42" w:rsidRDefault="00874B42" w:rsidP="00874B42">
      <w:pPr>
        <w:rPr>
          <w:color w:val="000000"/>
        </w:rPr>
      </w:pPr>
      <w:r w:rsidRPr="0011447D">
        <w:rPr>
          <w:color w:val="000000"/>
        </w:rPr>
        <w:t>Student nutrition programs provide a variety of nutritious food and beverage choices for breakfasts, lunches and snacks to students before, during or after each school day. Student nutrition programs complement efforts to improve the eating habits of children and youth as well as reduce rates of childhood obesity and the incidence of overweight children.</w:t>
      </w:r>
    </w:p>
    <w:p w14:paraId="10A0F7CA" w14:textId="77777777" w:rsidR="00874B42" w:rsidRDefault="00874B42" w:rsidP="00874B42">
      <w:pPr>
        <w:rPr>
          <w:color w:val="000000"/>
        </w:rPr>
      </w:pPr>
    </w:p>
    <w:p w14:paraId="1B5F22E3" w14:textId="538EB51E" w:rsidR="00874B42" w:rsidRDefault="002B6E1C" w:rsidP="00161C66">
      <w:r>
        <w:t xml:space="preserve">Food literacy  </w:t>
      </w:r>
      <w:r w:rsidR="00E8362A">
        <w:t>involves</w:t>
      </w:r>
      <w:r w:rsidR="00874B42">
        <w:t xml:space="preserve"> </w:t>
      </w:r>
      <w:r w:rsidR="00874B42" w:rsidRPr="005A2EAA">
        <w:t>understanding</w:t>
      </w:r>
      <w:r w:rsidR="00874B42">
        <w:t>:</w:t>
      </w:r>
      <w:r w:rsidR="00B97240">
        <w:t xml:space="preserve"> </w:t>
      </w:r>
    </w:p>
    <w:p w14:paraId="5B48F307" w14:textId="5878672D" w:rsidR="00874B42" w:rsidRDefault="002B6E1C" w:rsidP="00161C66">
      <w:pPr>
        <w:pStyle w:val="ListParagraph"/>
        <w:numPr>
          <w:ilvl w:val="0"/>
          <w:numId w:val="18"/>
        </w:numPr>
        <w:spacing w:before="120"/>
      </w:pPr>
      <w:r w:rsidRPr="005A2EAA">
        <w:t>where food comes from</w:t>
      </w:r>
      <w:r w:rsidR="00874B42">
        <w:t>;</w:t>
      </w:r>
      <w:r w:rsidRPr="005A2EAA">
        <w:t xml:space="preserve"> </w:t>
      </w:r>
    </w:p>
    <w:p w14:paraId="55E56428" w14:textId="1E1B0D9B" w:rsidR="00874B42" w:rsidRDefault="002B6E1C" w:rsidP="00161C66">
      <w:pPr>
        <w:pStyle w:val="ListParagraph"/>
        <w:numPr>
          <w:ilvl w:val="0"/>
          <w:numId w:val="18"/>
        </w:numPr>
        <w:spacing w:before="120"/>
      </w:pPr>
      <w:r w:rsidRPr="005A2EAA">
        <w:t>the impacts of food on health, the environment and the economy</w:t>
      </w:r>
      <w:r w:rsidR="00874B42">
        <w:t>;</w:t>
      </w:r>
      <w:r w:rsidRPr="005A2EAA">
        <w:t xml:space="preserve"> and </w:t>
      </w:r>
    </w:p>
    <w:p w14:paraId="753FD194" w14:textId="5C40441F" w:rsidR="00B97240" w:rsidRDefault="002B6E1C" w:rsidP="00161C66">
      <w:pPr>
        <w:pStyle w:val="ListParagraph"/>
        <w:numPr>
          <w:ilvl w:val="0"/>
          <w:numId w:val="18"/>
        </w:numPr>
        <w:spacing w:before="120"/>
      </w:pPr>
      <w:r w:rsidRPr="005A2EAA">
        <w:t xml:space="preserve">how to grow, </w:t>
      </w:r>
      <w:r>
        <w:t>prepare</w:t>
      </w:r>
      <w:r w:rsidRPr="005A2EAA">
        <w:t xml:space="preserve">, and </w:t>
      </w:r>
      <w:r>
        <w:t xml:space="preserve">prefer healthy, safe and nutritious food. </w:t>
      </w:r>
    </w:p>
    <w:p w14:paraId="2C581068" w14:textId="77777777" w:rsidR="00B97240" w:rsidRDefault="00B97240" w:rsidP="00670C4A"/>
    <w:p w14:paraId="028850E7" w14:textId="344029D9" w:rsidR="00874B42" w:rsidRPr="00161C66" w:rsidRDefault="00874B42" w:rsidP="00670C4A">
      <w:r>
        <w:rPr>
          <w:color w:val="000000"/>
        </w:rPr>
        <w:t>While these two facets</w:t>
      </w:r>
      <w:r w:rsidR="007727FD">
        <w:rPr>
          <w:color w:val="000000"/>
        </w:rPr>
        <w:t xml:space="preserve"> comple</w:t>
      </w:r>
      <w:r>
        <w:rPr>
          <w:color w:val="000000"/>
        </w:rPr>
        <w:t>ment</w:t>
      </w:r>
      <w:r w:rsidR="007727FD">
        <w:rPr>
          <w:color w:val="000000"/>
        </w:rPr>
        <w:t xml:space="preserve"> one another</w:t>
      </w:r>
      <w:r>
        <w:rPr>
          <w:color w:val="000000"/>
        </w:rPr>
        <w:t xml:space="preserve">, student nutrition / breakfast programs </w:t>
      </w:r>
      <w:r w:rsidR="007727FD">
        <w:rPr>
          <w:color w:val="000000"/>
        </w:rPr>
        <w:t xml:space="preserve">focus on </w:t>
      </w:r>
      <w:r>
        <w:rPr>
          <w:color w:val="000000"/>
        </w:rPr>
        <w:t>provid</w:t>
      </w:r>
      <w:r w:rsidR="007727FD">
        <w:rPr>
          <w:color w:val="000000"/>
        </w:rPr>
        <w:t>ing</w:t>
      </w:r>
      <w:r>
        <w:rPr>
          <w:color w:val="000000"/>
        </w:rPr>
        <w:t xml:space="preserve"> children and youth with food </w:t>
      </w:r>
      <w:r w:rsidR="00EC01A1">
        <w:rPr>
          <w:color w:val="000000"/>
        </w:rPr>
        <w:t xml:space="preserve">so </w:t>
      </w:r>
      <w:r>
        <w:rPr>
          <w:color w:val="000000"/>
        </w:rPr>
        <w:t>that they are not hungry wh</w:t>
      </w:r>
      <w:r w:rsidR="00112B0B">
        <w:rPr>
          <w:color w:val="000000"/>
        </w:rPr>
        <w:t xml:space="preserve">en they are </w:t>
      </w:r>
      <w:r w:rsidR="007727FD">
        <w:rPr>
          <w:color w:val="000000"/>
        </w:rPr>
        <w:t>in school</w:t>
      </w:r>
      <w:r>
        <w:rPr>
          <w:color w:val="000000"/>
        </w:rPr>
        <w:t xml:space="preserve">, </w:t>
      </w:r>
      <w:r w:rsidR="007727FD">
        <w:rPr>
          <w:color w:val="000000"/>
        </w:rPr>
        <w:t xml:space="preserve">while </w:t>
      </w:r>
      <w:r>
        <w:rPr>
          <w:color w:val="000000"/>
        </w:rPr>
        <w:t xml:space="preserve">food literacy </w:t>
      </w:r>
      <w:r w:rsidR="007727FD">
        <w:rPr>
          <w:color w:val="000000"/>
        </w:rPr>
        <w:t xml:space="preserve">education </w:t>
      </w:r>
      <w:r w:rsidR="00112B0B">
        <w:rPr>
          <w:color w:val="000000"/>
        </w:rPr>
        <w:t xml:space="preserve">engages </w:t>
      </w:r>
      <w:r>
        <w:rPr>
          <w:color w:val="000000"/>
        </w:rPr>
        <w:t xml:space="preserve">children and youth to learn </w:t>
      </w:r>
      <w:r w:rsidR="007855C7">
        <w:rPr>
          <w:color w:val="000000"/>
        </w:rPr>
        <w:t xml:space="preserve">skills and develop </w:t>
      </w:r>
      <w:r>
        <w:rPr>
          <w:color w:val="000000"/>
        </w:rPr>
        <w:t xml:space="preserve">habits that will </w:t>
      </w:r>
      <w:r w:rsidR="007727FD">
        <w:rPr>
          <w:color w:val="000000"/>
        </w:rPr>
        <w:t>enable</w:t>
      </w:r>
      <w:r>
        <w:rPr>
          <w:color w:val="000000"/>
        </w:rPr>
        <w:t xml:space="preserve"> </w:t>
      </w:r>
      <w:r w:rsidR="007727FD">
        <w:rPr>
          <w:color w:val="000000"/>
        </w:rPr>
        <w:t xml:space="preserve">them to make </w:t>
      </w:r>
      <w:r w:rsidR="007855C7">
        <w:rPr>
          <w:color w:val="000000"/>
        </w:rPr>
        <w:t>health</w:t>
      </w:r>
      <w:r w:rsidR="007727FD">
        <w:rPr>
          <w:color w:val="000000"/>
        </w:rPr>
        <w:t>y food choices</w:t>
      </w:r>
      <w:r w:rsidR="007855C7">
        <w:rPr>
          <w:color w:val="000000"/>
        </w:rPr>
        <w:t xml:space="preserve"> throughout their </w:t>
      </w:r>
      <w:r w:rsidR="007727FD">
        <w:rPr>
          <w:color w:val="000000"/>
        </w:rPr>
        <w:t>lives</w:t>
      </w:r>
      <w:r>
        <w:rPr>
          <w:color w:val="000000"/>
        </w:rPr>
        <w:t xml:space="preserve">. </w:t>
      </w:r>
    </w:p>
    <w:p w14:paraId="6EE429A2" w14:textId="77777777" w:rsidR="009C6D7A" w:rsidRDefault="009C6D7A" w:rsidP="00670C4A"/>
    <w:p w14:paraId="421E1C9E" w14:textId="4DD90B82" w:rsidR="00B7387D" w:rsidRPr="002853B0" w:rsidRDefault="00B7387D" w:rsidP="00112B0B">
      <w:pPr>
        <w:spacing w:before="120"/>
        <w:rPr>
          <w:b/>
          <w:bCs/>
          <w:u w:val="single"/>
        </w:rPr>
      </w:pPr>
      <w:r w:rsidRPr="002853B0">
        <w:rPr>
          <w:b/>
          <w:bCs/>
          <w:u w:val="single"/>
        </w:rPr>
        <w:t xml:space="preserve">How do </w:t>
      </w:r>
      <w:r w:rsidR="007727FD">
        <w:rPr>
          <w:b/>
          <w:bCs/>
          <w:u w:val="single"/>
        </w:rPr>
        <w:t xml:space="preserve">student nutrition and </w:t>
      </w:r>
      <w:r w:rsidRPr="002853B0">
        <w:rPr>
          <w:b/>
          <w:bCs/>
          <w:u w:val="single"/>
        </w:rPr>
        <w:t>food literacy contribute to a better Ontario?</w:t>
      </w:r>
    </w:p>
    <w:p w14:paraId="183CC17A" w14:textId="77777777" w:rsidR="009C6D7A" w:rsidRDefault="009C6D7A" w:rsidP="009C6D7A">
      <w:pPr>
        <w:rPr>
          <w:rFonts w:cs="Times New Roman"/>
        </w:rPr>
      </w:pPr>
    </w:p>
    <w:p w14:paraId="6DD72442" w14:textId="14BAC193" w:rsidR="00B7387D" w:rsidRPr="00112B0B" w:rsidRDefault="00112B0B" w:rsidP="00DA0658">
      <w:pPr>
        <w:spacing w:after="120"/>
        <w:rPr>
          <w:rFonts w:asciiTheme="majorHAnsi" w:hAnsiTheme="majorHAnsi" w:cs="Times New Roman"/>
          <w:color w:val="000000" w:themeColor="text1"/>
        </w:rPr>
      </w:pPr>
      <w:r w:rsidRPr="00112B0B">
        <w:rPr>
          <w:rFonts w:asciiTheme="majorHAnsi" w:hAnsiTheme="majorHAnsi"/>
          <w:color w:val="000000" w:themeColor="text1"/>
          <w:u w:val="single"/>
        </w:rPr>
        <w:t>SNPs and food literacy r</w:t>
      </w:r>
      <w:r w:rsidR="00B7387D" w:rsidRPr="00112B0B">
        <w:rPr>
          <w:rFonts w:asciiTheme="majorHAnsi" w:hAnsiTheme="majorHAnsi"/>
          <w:color w:val="000000" w:themeColor="text1"/>
          <w:u w:val="single"/>
        </w:rPr>
        <w:t>educe the incidences and costs of diet-related illness</w:t>
      </w:r>
    </w:p>
    <w:p w14:paraId="565A3CD9" w14:textId="0562E6A5" w:rsidR="004E1550" w:rsidRDefault="007727FD" w:rsidP="00E83301">
      <w:pPr>
        <w:rPr>
          <w:rFonts w:asciiTheme="majorHAnsi" w:eastAsia="Times New Roman" w:hAnsiTheme="majorHAnsi" w:cs="Times New Roman"/>
          <w:color w:val="000000" w:themeColor="text1"/>
        </w:rPr>
      </w:pPr>
      <w:r>
        <w:rPr>
          <w:rFonts w:asciiTheme="majorHAnsi" w:eastAsia="Times New Roman" w:hAnsiTheme="majorHAnsi" w:cs="Arial"/>
          <w:color w:val="000000" w:themeColor="text1"/>
          <w:lang w:val="en-CA"/>
        </w:rPr>
        <w:t>T</w:t>
      </w:r>
      <w:r w:rsidRPr="00E83301">
        <w:rPr>
          <w:rFonts w:asciiTheme="majorHAnsi" w:eastAsia="Times New Roman" w:hAnsiTheme="majorHAnsi" w:cs="Arial"/>
          <w:color w:val="000000" w:themeColor="text1"/>
          <w:lang w:val="en-CA"/>
        </w:rPr>
        <w:t xml:space="preserve">he health of our children is a growing concern. </w:t>
      </w:r>
      <w:r w:rsidRPr="00E83301">
        <w:rPr>
          <w:rFonts w:asciiTheme="majorHAnsi" w:hAnsiTheme="majorHAnsi"/>
          <w:color w:val="000000" w:themeColor="text1"/>
        </w:rPr>
        <w:t xml:space="preserve"> </w:t>
      </w:r>
      <w:r w:rsidR="00BE4954">
        <w:rPr>
          <w:rFonts w:asciiTheme="majorHAnsi" w:hAnsiTheme="majorHAnsi"/>
          <w:color w:val="000000" w:themeColor="text1"/>
        </w:rPr>
        <w:t>The</w:t>
      </w:r>
      <w:r w:rsidR="00BE4954" w:rsidRPr="00595854">
        <w:rPr>
          <w:rFonts w:asciiTheme="majorHAnsi" w:hAnsiTheme="majorHAnsi"/>
          <w:color w:val="000000" w:themeColor="text1"/>
        </w:rPr>
        <w:t xml:space="preserve"> report</w:t>
      </w:r>
      <w:r w:rsidR="009B7E1F" w:rsidRPr="00595854">
        <w:rPr>
          <w:rFonts w:asciiTheme="majorHAnsi" w:hAnsiTheme="majorHAnsi"/>
          <w:color w:val="000000" w:themeColor="text1"/>
        </w:rPr>
        <w:t xml:space="preserve"> </w:t>
      </w:r>
      <w:r w:rsidR="004E1550" w:rsidRPr="00595854">
        <w:rPr>
          <w:rFonts w:asciiTheme="majorHAnsi" w:hAnsiTheme="majorHAnsi"/>
          <w:i/>
          <w:color w:val="000000" w:themeColor="text1"/>
        </w:rPr>
        <w:t>No Time to Wait: A Healthy Kids Strategy</w:t>
      </w:r>
      <w:r w:rsidR="004E1550">
        <w:rPr>
          <w:rFonts w:asciiTheme="majorHAnsi" w:hAnsiTheme="majorHAnsi"/>
          <w:i/>
          <w:color w:val="000000" w:themeColor="text1"/>
        </w:rPr>
        <w:t>,</w:t>
      </w:r>
      <w:r w:rsidR="004E1550">
        <w:rPr>
          <w:rFonts w:asciiTheme="majorHAnsi" w:hAnsiTheme="majorHAnsi"/>
          <w:color w:val="000000" w:themeColor="text1"/>
        </w:rPr>
        <w:t xml:space="preserve"> </w:t>
      </w:r>
      <w:r w:rsidR="00BE4954">
        <w:rPr>
          <w:rFonts w:asciiTheme="majorHAnsi" w:hAnsiTheme="majorHAnsi"/>
          <w:color w:val="000000" w:themeColor="text1"/>
        </w:rPr>
        <w:t xml:space="preserve">which was </w:t>
      </w:r>
      <w:r w:rsidR="004E1550">
        <w:rPr>
          <w:rFonts w:asciiTheme="majorHAnsi" w:hAnsiTheme="majorHAnsi"/>
          <w:color w:val="000000" w:themeColor="text1"/>
        </w:rPr>
        <w:t xml:space="preserve">submitted in 2013 by the Healthy Kids Panel to </w:t>
      </w:r>
      <w:r w:rsidR="009B7E1F" w:rsidRPr="00595854">
        <w:rPr>
          <w:rFonts w:asciiTheme="majorHAnsi" w:hAnsiTheme="majorHAnsi"/>
          <w:color w:val="000000" w:themeColor="text1"/>
        </w:rPr>
        <w:t>the Ontario Ministry of Health</w:t>
      </w:r>
      <w:r w:rsidR="004E1550">
        <w:rPr>
          <w:rFonts w:asciiTheme="majorHAnsi" w:hAnsiTheme="majorHAnsi"/>
          <w:color w:val="000000" w:themeColor="text1"/>
        </w:rPr>
        <w:t xml:space="preserve"> and Long-term Care</w:t>
      </w:r>
      <w:r w:rsidR="009B7E1F" w:rsidRPr="00595854">
        <w:rPr>
          <w:rFonts w:asciiTheme="majorHAnsi" w:hAnsiTheme="majorHAnsi"/>
          <w:color w:val="000000" w:themeColor="text1"/>
        </w:rPr>
        <w:t xml:space="preserve">, </w:t>
      </w:r>
      <w:r w:rsidR="00BE4954">
        <w:rPr>
          <w:rFonts w:asciiTheme="majorHAnsi" w:hAnsiTheme="majorHAnsi"/>
          <w:color w:val="000000" w:themeColor="text1"/>
        </w:rPr>
        <w:t xml:space="preserve">raises the alarm that </w:t>
      </w:r>
      <w:r w:rsidR="009B7E1F" w:rsidRPr="00595854">
        <w:rPr>
          <w:rFonts w:asciiTheme="majorHAnsi" w:hAnsiTheme="majorHAnsi"/>
          <w:color w:val="000000" w:themeColor="text1"/>
        </w:rPr>
        <w:t xml:space="preserve">childhood obesity is </w:t>
      </w:r>
      <w:r w:rsidR="00EC01A1">
        <w:rPr>
          <w:rFonts w:asciiTheme="majorHAnsi" w:hAnsiTheme="majorHAnsi"/>
          <w:color w:val="000000" w:themeColor="text1"/>
        </w:rPr>
        <w:t>at</w:t>
      </w:r>
      <w:r w:rsidR="009B7E1F" w:rsidRPr="00595854">
        <w:rPr>
          <w:rFonts w:asciiTheme="majorHAnsi" w:hAnsiTheme="majorHAnsi"/>
          <w:color w:val="000000" w:themeColor="text1"/>
        </w:rPr>
        <w:t xml:space="preserve"> a crisis in Ontario.</w:t>
      </w:r>
      <w:r w:rsidR="009B7E1F">
        <w:rPr>
          <w:rFonts w:asciiTheme="majorHAnsi" w:hAnsiTheme="majorHAnsi"/>
          <w:color w:val="000000" w:themeColor="text1"/>
        </w:rPr>
        <w:t xml:space="preserve">  </w:t>
      </w:r>
    </w:p>
    <w:p w14:paraId="2FFF413A" w14:textId="1CB1F5BC" w:rsidR="00BE4954" w:rsidRPr="00BE4954" w:rsidRDefault="00D10DF3" w:rsidP="00E83301">
      <w:pPr>
        <w:pStyle w:val="ListParagraph"/>
        <w:numPr>
          <w:ilvl w:val="0"/>
          <w:numId w:val="22"/>
        </w:numPr>
        <w:spacing w:before="120"/>
        <w:ind w:left="714" w:hanging="357"/>
        <w:rPr>
          <w:rFonts w:asciiTheme="majorHAnsi" w:eastAsia="Times New Roman" w:hAnsiTheme="majorHAnsi" w:cs="Times New Roman"/>
          <w:color w:val="000000" w:themeColor="text1"/>
        </w:rPr>
      </w:pPr>
      <w:r w:rsidRPr="00BE4954">
        <w:rPr>
          <w:rFonts w:asciiTheme="majorHAnsi" w:hAnsiTheme="majorHAnsi"/>
          <w:color w:val="000000" w:themeColor="text1"/>
        </w:rPr>
        <w:t>B</w:t>
      </w:r>
      <w:r w:rsidR="00B10D71" w:rsidRPr="00BE4954">
        <w:rPr>
          <w:rFonts w:asciiTheme="majorHAnsi" w:hAnsiTheme="majorHAnsi"/>
          <w:color w:val="000000" w:themeColor="text1"/>
        </w:rPr>
        <w:t>etween</w:t>
      </w:r>
      <w:r w:rsidR="00B10D71" w:rsidRPr="00BE4954">
        <w:rPr>
          <w:rFonts w:asciiTheme="majorHAnsi" w:eastAsia="Times New Roman" w:hAnsiTheme="majorHAnsi" w:cs="Times New Roman"/>
          <w:color w:val="000000" w:themeColor="text1"/>
        </w:rPr>
        <w:t xml:space="preserve"> 1978 </w:t>
      </w:r>
      <w:r w:rsidR="00415D21" w:rsidRPr="00BE4954">
        <w:rPr>
          <w:rFonts w:asciiTheme="majorHAnsi" w:eastAsia="Times New Roman" w:hAnsiTheme="majorHAnsi" w:cs="Times New Roman"/>
          <w:color w:val="000000" w:themeColor="text1"/>
        </w:rPr>
        <w:t>and 2004, the prevalence of obesity and overweight in Ontario children increased about 70 per cent.</w:t>
      </w:r>
      <w:r w:rsidR="009B7E1F" w:rsidRPr="00BE4954">
        <w:rPr>
          <w:rStyle w:val="EndnoteReference"/>
          <w:rFonts w:asciiTheme="majorHAnsi" w:eastAsia="Times New Roman" w:hAnsiTheme="majorHAnsi" w:cs="Times New Roman"/>
          <w:color w:val="000000" w:themeColor="text1"/>
        </w:rPr>
        <w:t xml:space="preserve"> </w:t>
      </w:r>
      <w:r w:rsidR="00415D21" w:rsidRPr="00BE4954">
        <w:rPr>
          <w:rFonts w:asciiTheme="majorHAnsi" w:eastAsia="Times New Roman" w:hAnsiTheme="majorHAnsi" w:cs="Times New Roman"/>
          <w:color w:val="000000" w:themeColor="text1"/>
        </w:rPr>
        <w:t>The proportion of 12- to 17-year-olds who are overweight increased from 14 per cent to 29 per cent and, of those, the proportion who are obese tripled (</w:t>
      </w:r>
      <w:r w:rsidR="00D115A1" w:rsidRPr="00BE4954">
        <w:rPr>
          <w:rFonts w:asciiTheme="majorHAnsi" w:eastAsia="Times New Roman" w:hAnsiTheme="majorHAnsi" w:cs="Times New Roman"/>
          <w:color w:val="000000" w:themeColor="text1"/>
        </w:rPr>
        <w:t>3</w:t>
      </w:r>
      <w:r w:rsidR="00415D21" w:rsidRPr="00BE4954">
        <w:rPr>
          <w:rFonts w:asciiTheme="majorHAnsi" w:eastAsia="Times New Roman" w:hAnsiTheme="majorHAnsi" w:cs="Times New Roman"/>
          <w:color w:val="000000" w:themeColor="text1"/>
        </w:rPr>
        <w:t xml:space="preserve"> per cent to </w:t>
      </w:r>
      <w:r w:rsidR="00D115A1" w:rsidRPr="00BE4954">
        <w:rPr>
          <w:rFonts w:asciiTheme="majorHAnsi" w:eastAsia="Times New Roman" w:hAnsiTheme="majorHAnsi" w:cs="Times New Roman"/>
          <w:color w:val="000000" w:themeColor="text1"/>
        </w:rPr>
        <w:t>9</w:t>
      </w:r>
      <w:r w:rsidR="00415D21" w:rsidRPr="00BE4954">
        <w:rPr>
          <w:rFonts w:asciiTheme="majorHAnsi" w:eastAsia="Times New Roman" w:hAnsiTheme="majorHAnsi" w:cs="Times New Roman"/>
          <w:color w:val="000000" w:themeColor="text1"/>
        </w:rPr>
        <w:t xml:space="preserve"> per cent).</w:t>
      </w:r>
      <w:r w:rsidR="00B10D71" w:rsidRPr="00BE4954">
        <w:rPr>
          <w:rFonts w:asciiTheme="majorHAnsi" w:eastAsia="Times New Roman" w:hAnsiTheme="majorHAnsi" w:cs="Times New Roman"/>
          <w:color w:val="000000" w:themeColor="text1"/>
        </w:rPr>
        <w:t xml:space="preserve"> </w:t>
      </w:r>
      <w:r w:rsidR="00B10D71" w:rsidRPr="00BE4954">
        <w:rPr>
          <w:rFonts w:asciiTheme="majorHAnsi" w:hAnsiTheme="majorHAnsi"/>
          <w:color w:val="000000" w:themeColor="text1"/>
        </w:rPr>
        <w:t xml:space="preserve"> At this rate</w:t>
      </w:r>
      <w:r w:rsidR="00D115A1" w:rsidRPr="00BE4954">
        <w:rPr>
          <w:rFonts w:asciiTheme="majorHAnsi" w:hAnsiTheme="majorHAnsi"/>
          <w:color w:val="000000" w:themeColor="text1"/>
        </w:rPr>
        <w:t>,</w:t>
      </w:r>
      <w:r w:rsidR="00B10D71" w:rsidRPr="00BE4954">
        <w:rPr>
          <w:rFonts w:asciiTheme="majorHAnsi" w:hAnsiTheme="majorHAnsi"/>
          <w:color w:val="000000" w:themeColor="text1"/>
        </w:rPr>
        <w:t xml:space="preserve"> by 2040</w:t>
      </w:r>
      <w:r w:rsidR="00D115A1" w:rsidRPr="00BE4954">
        <w:rPr>
          <w:rFonts w:asciiTheme="majorHAnsi" w:hAnsiTheme="majorHAnsi"/>
          <w:color w:val="000000" w:themeColor="text1"/>
        </w:rPr>
        <w:t>,</w:t>
      </w:r>
      <w:r w:rsidR="00B10D71" w:rsidRPr="00BE4954">
        <w:rPr>
          <w:rFonts w:asciiTheme="majorHAnsi" w:hAnsiTheme="majorHAnsi"/>
          <w:color w:val="000000" w:themeColor="text1"/>
        </w:rPr>
        <w:t xml:space="preserve"> 70</w:t>
      </w:r>
      <w:r w:rsidR="00D115A1" w:rsidRPr="00BE4954">
        <w:rPr>
          <w:rFonts w:asciiTheme="majorHAnsi" w:hAnsiTheme="majorHAnsi"/>
          <w:color w:val="000000" w:themeColor="text1"/>
        </w:rPr>
        <w:t xml:space="preserve"> per cent</w:t>
      </w:r>
      <w:r w:rsidR="00B10D71" w:rsidRPr="00BE4954">
        <w:rPr>
          <w:rFonts w:asciiTheme="majorHAnsi" w:hAnsiTheme="majorHAnsi"/>
          <w:color w:val="000000" w:themeColor="text1"/>
        </w:rPr>
        <w:t xml:space="preserve"> of children will be obese.</w:t>
      </w:r>
      <w:r w:rsidR="00EF0B8E" w:rsidRPr="00BE4954">
        <w:rPr>
          <w:rStyle w:val="EndnoteReference"/>
          <w:rFonts w:asciiTheme="majorHAnsi" w:eastAsia="Times New Roman" w:hAnsiTheme="majorHAnsi" w:cs="Times New Roman"/>
          <w:color w:val="000000" w:themeColor="text1"/>
        </w:rPr>
        <w:t xml:space="preserve"> </w:t>
      </w:r>
      <w:r w:rsidR="00E836AE">
        <w:rPr>
          <w:rStyle w:val="EndnoteReference"/>
          <w:rFonts w:asciiTheme="majorHAnsi" w:eastAsia="Times New Roman" w:hAnsiTheme="majorHAnsi" w:cs="Times New Roman"/>
          <w:color w:val="000000" w:themeColor="text1"/>
        </w:rPr>
        <w:endnoteReference w:id="1"/>
      </w:r>
      <w:r w:rsidR="00B10D71" w:rsidRPr="00BE4954">
        <w:rPr>
          <w:rFonts w:asciiTheme="majorHAnsi" w:hAnsiTheme="majorHAnsi"/>
          <w:color w:val="000000" w:themeColor="text1"/>
        </w:rPr>
        <w:t xml:space="preserve"> </w:t>
      </w:r>
    </w:p>
    <w:p w14:paraId="2AF7F91F" w14:textId="5DAB2A88" w:rsidR="00D115A1" w:rsidRPr="00BE4954" w:rsidRDefault="00EC01A1" w:rsidP="00BE4954">
      <w:pPr>
        <w:pStyle w:val="ListParagraph"/>
        <w:numPr>
          <w:ilvl w:val="0"/>
          <w:numId w:val="22"/>
        </w:numPr>
        <w:spacing w:before="120"/>
        <w:ind w:left="714" w:hanging="357"/>
        <w:contextualSpacing w:val="0"/>
        <w:rPr>
          <w:rFonts w:asciiTheme="majorHAnsi" w:eastAsia="Times New Roman" w:hAnsiTheme="majorHAnsi" w:cs="Times New Roman"/>
          <w:color w:val="000000" w:themeColor="text1"/>
        </w:rPr>
      </w:pPr>
      <w:r>
        <w:rPr>
          <w:rFonts w:asciiTheme="majorHAnsi" w:hAnsiTheme="majorHAnsi"/>
          <w:color w:val="000000" w:themeColor="text1"/>
        </w:rPr>
        <w:t>I</w:t>
      </w:r>
      <w:r w:rsidRPr="00BE4954">
        <w:rPr>
          <w:rFonts w:asciiTheme="majorHAnsi" w:hAnsiTheme="majorHAnsi"/>
          <w:color w:val="000000" w:themeColor="text1"/>
        </w:rPr>
        <w:t>ncreasing numbers of youth are at risk of developing respiratory disorders, orthopedic conditions, high cholesterol and type 2 diabetes due to poor diet.</w:t>
      </w:r>
      <w:r>
        <w:rPr>
          <w:rFonts w:asciiTheme="majorHAnsi" w:hAnsiTheme="majorHAnsi"/>
          <w:color w:val="000000" w:themeColor="text1"/>
        </w:rPr>
        <w:t xml:space="preserve"> </w:t>
      </w:r>
      <w:r w:rsidR="00B7387D" w:rsidRPr="00BE4954">
        <w:rPr>
          <w:rFonts w:asciiTheme="majorHAnsi" w:hAnsiTheme="majorHAnsi"/>
          <w:color w:val="000000" w:themeColor="text1"/>
        </w:rPr>
        <w:t xml:space="preserve">Unhealthy eating habits from childhood often extend into adulthood, amplifying the cost for the Ontario health care system of treating associated illnesses. </w:t>
      </w:r>
      <w:r w:rsidR="0001742B" w:rsidRPr="00BE4954">
        <w:rPr>
          <w:rFonts w:asciiTheme="majorHAnsi" w:hAnsiTheme="majorHAnsi"/>
          <w:color w:val="000000" w:themeColor="text1"/>
        </w:rPr>
        <w:t xml:space="preserve"> </w:t>
      </w:r>
      <w:r w:rsidR="002267D3" w:rsidRPr="00BE4954">
        <w:rPr>
          <w:rFonts w:asciiTheme="majorHAnsi" w:eastAsia="Times New Roman" w:hAnsiTheme="majorHAnsi" w:cs="Arial"/>
          <w:color w:val="000000" w:themeColor="text1"/>
          <w:spacing w:val="12"/>
        </w:rPr>
        <w:t>I</w:t>
      </w:r>
      <w:r w:rsidR="00B7387D" w:rsidRPr="00BE4954">
        <w:rPr>
          <w:rFonts w:asciiTheme="majorHAnsi" w:eastAsia="Times New Roman" w:hAnsiTheme="majorHAnsi" w:cs="Arial"/>
          <w:color w:val="000000" w:themeColor="text1"/>
          <w:spacing w:val="12"/>
        </w:rPr>
        <w:t xml:space="preserve">t is predicted that </w:t>
      </w:r>
      <w:r w:rsidR="00D115A1" w:rsidRPr="00BE4954">
        <w:rPr>
          <w:rFonts w:asciiTheme="majorHAnsi" w:eastAsia="Times New Roman" w:hAnsiTheme="majorHAnsi" w:cs="Arial"/>
          <w:color w:val="000000" w:themeColor="text1"/>
          <w:spacing w:val="12"/>
        </w:rPr>
        <w:t>75</w:t>
      </w:r>
      <w:r w:rsidR="002267D3" w:rsidRPr="00BE4954">
        <w:rPr>
          <w:rFonts w:asciiTheme="majorHAnsi" w:eastAsia="Times New Roman" w:hAnsiTheme="majorHAnsi" w:cs="Arial"/>
          <w:color w:val="000000" w:themeColor="text1"/>
          <w:spacing w:val="12"/>
        </w:rPr>
        <w:t xml:space="preserve"> per cent of obese children grow up to become obese adults, </w:t>
      </w:r>
      <w:r w:rsidR="002267D3" w:rsidRPr="00BE4954">
        <w:rPr>
          <w:rFonts w:asciiTheme="majorHAnsi" w:eastAsia="Times New Roman" w:hAnsiTheme="majorHAnsi" w:cs="Times New Roman"/>
          <w:color w:val="000000" w:themeColor="text1"/>
          <w:shd w:val="clear" w:color="auto" w:fill="FFFFFF"/>
        </w:rPr>
        <w:t>costing Ontario's health-care system an estimated $4.5 billion in direct and indirect costs.</w:t>
      </w:r>
      <w:r w:rsidR="00E836AE">
        <w:rPr>
          <w:rStyle w:val="EndnoteReference"/>
          <w:rFonts w:asciiTheme="majorHAnsi" w:eastAsia="Times New Roman" w:hAnsiTheme="majorHAnsi" w:cs="Times New Roman"/>
          <w:color w:val="000000" w:themeColor="text1"/>
          <w:shd w:val="clear" w:color="auto" w:fill="FFFFFF"/>
        </w:rPr>
        <w:endnoteReference w:id="2"/>
      </w:r>
    </w:p>
    <w:p w14:paraId="1AE253C4" w14:textId="77777777" w:rsidR="00D115A1" w:rsidRDefault="00D115A1" w:rsidP="00E83301">
      <w:pPr>
        <w:rPr>
          <w:rFonts w:asciiTheme="majorHAnsi" w:eastAsia="Times New Roman" w:hAnsiTheme="majorHAnsi" w:cs="Times New Roman"/>
          <w:color w:val="000000" w:themeColor="text1"/>
          <w:shd w:val="clear" w:color="auto" w:fill="FFFFFF"/>
        </w:rPr>
      </w:pPr>
    </w:p>
    <w:p w14:paraId="572E716E" w14:textId="3B211248" w:rsidR="002267D3" w:rsidRPr="00E83301" w:rsidRDefault="00D115A1" w:rsidP="00E83301">
      <w:pPr>
        <w:rPr>
          <w:rFonts w:asciiTheme="majorHAnsi" w:eastAsia="Times New Roman" w:hAnsiTheme="majorHAnsi" w:cs="Times New Roman"/>
          <w:color w:val="000000" w:themeColor="text1"/>
        </w:rPr>
      </w:pPr>
      <w:r>
        <w:rPr>
          <w:rFonts w:asciiTheme="majorHAnsi" w:eastAsia="Times New Roman" w:hAnsiTheme="majorHAnsi" w:cs="Times New Roman"/>
          <w:color w:val="000000" w:themeColor="text1"/>
          <w:shd w:val="clear" w:color="auto" w:fill="FFFFFF"/>
        </w:rPr>
        <w:t xml:space="preserve">This issue is a product of our current food systems and surrounding food environments.  </w:t>
      </w:r>
      <w:r>
        <w:rPr>
          <w:rFonts w:asciiTheme="majorHAnsi" w:hAnsiTheme="majorHAnsi"/>
          <w:color w:val="000000" w:themeColor="text1"/>
        </w:rPr>
        <w:t>A quick fix will not help.</w:t>
      </w:r>
    </w:p>
    <w:p w14:paraId="2BC27742" w14:textId="77777777" w:rsidR="00395A83" w:rsidRPr="005B2E7B" w:rsidRDefault="00395A83" w:rsidP="00670C4A">
      <w:pPr>
        <w:rPr>
          <w:rFonts w:asciiTheme="majorHAnsi" w:hAnsiTheme="majorHAnsi"/>
          <w:color w:val="000000" w:themeColor="text1"/>
        </w:rPr>
      </w:pPr>
    </w:p>
    <w:p w14:paraId="4C67EF5B" w14:textId="24D30956" w:rsidR="00993DBB" w:rsidRDefault="00B7387D" w:rsidP="00670C4A">
      <w:pPr>
        <w:rPr>
          <w:rFonts w:asciiTheme="majorHAnsi" w:hAnsiTheme="majorHAnsi"/>
          <w:color w:val="000000" w:themeColor="text1"/>
        </w:rPr>
      </w:pPr>
      <w:r w:rsidRPr="005B2E7B">
        <w:rPr>
          <w:rFonts w:asciiTheme="majorHAnsi" w:hAnsiTheme="majorHAnsi"/>
          <w:color w:val="000000" w:themeColor="text1"/>
        </w:rPr>
        <w:lastRenderedPageBreak/>
        <w:t>Schools, where students consume</w:t>
      </w:r>
      <w:r w:rsidR="00EB6A9F" w:rsidRPr="005B2E7B">
        <w:rPr>
          <w:rFonts w:asciiTheme="majorHAnsi" w:hAnsiTheme="majorHAnsi"/>
          <w:color w:val="000000" w:themeColor="text1"/>
        </w:rPr>
        <w:t xml:space="preserve"> one third</w:t>
      </w:r>
      <w:r w:rsidRPr="005B2E7B">
        <w:rPr>
          <w:rFonts w:asciiTheme="majorHAnsi" w:hAnsiTheme="majorHAnsi"/>
          <w:color w:val="000000" w:themeColor="text1"/>
        </w:rPr>
        <w:t xml:space="preserve"> of their daily calories, are in a unique position to impede this trend</w:t>
      </w:r>
      <w:r w:rsidR="00993DBB">
        <w:rPr>
          <w:rFonts w:asciiTheme="majorHAnsi" w:hAnsiTheme="majorHAnsi"/>
          <w:color w:val="000000" w:themeColor="text1"/>
        </w:rPr>
        <w:t xml:space="preserve">, particularly by employing prevention-oriented strategies that foster good dietary habits. </w:t>
      </w:r>
    </w:p>
    <w:p w14:paraId="3693FCA0" w14:textId="32CAABDE" w:rsidR="00993DBB" w:rsidRPr="00993DBB" w:rsidRDefault="00D115A1" w:rsidP="00993DBB">
      <w:pPr>
        <w:pStyle w:val="ListParagraph"/>
        <w:numPr>
          <w:ilvl w:val="0"/>
          <w:numId w:val="23"/>
        </w:numPr>
        <w:spacing w:before="120"/>
        <w:ind w:left="714" w:hanging="357"/>
        <w:rPr>
          <w:rFonts w:asciiTheme="majorHAnsi" w:hAnsiTheme="majorHAnsi"/>
          <w:color w:val="000000" w:themeColor="text1"/>
        </w:rPr>
      </w:pPr>
      <w:r w:rsidRPr="00993DBB">
        <w:rPr>
          <w:rFonts w:asciiTheme="majorHAnsi" w:hAnsiTheme="majorHAnsi"/>
          <w:color w:val="000000" w:themeColor="text1"/>
        </w:rPr>
        <w:t>Schools can provide students with both an opportunity to consume healthy foods, and also to develop the knowledge and skills needed to make healthy food choices for life</w:t>
      </w:r>
      <w:r w:rsidR="00395A83" w:rsidRPr="00993DBB">
        <w:rPr>
          <w:rFonts w:asciiTheme="majorHAnsi" w:hAnsiTheme="majorHAnsi"/>
          <w:color w:val="000000" w:themeColor="text1"/>
        </w:rPr>
        <w:t xml:space="preserve">.  </w:t>
      </w:r>
    </w:p>
    <w:p w14:paraId="1D81D8F6" w14:textId="0BF4FC3A" w:rsidR="0001742B" w:rsidRPr="00993DBB" w:rsidRDefault="00D10DF3" w:rsidP="00993DBB">
      <w:pPr>
        <w:pStyle w:val="ListParagraph"/>
        <w:numPr>
          <w:ilvl w:val="0"/>
          <w:numId w:val="23"/>
        </w:numPr>
        <w:spacing w:before="120"/>
        <w:ind w:left="714" w:hanging="357"/>
        <w:contextualSpacing w:val="0"/>
        <w:rPr>
          <w:rFonts w:asciiTheme="majorHAnsi" w:hAnsiTheme="majorHAnsi"/>
          <w:color w:val="000000" w:themeColor="text1"/>
        </w:rPr>
      </w:pPr>
      <w:r w:rsidRPr="00993DBB">
        <w:rPr>
          <w:rFonts w:asciiTheme="majorHAnsi" w:eastAsia="Times New Roman" w:hAnsiTheme="majorHAnsi" w:cs="Arial"/>
          <w:color w:val="000000" w:themeColor="text1"/>
          <w:lang w:val="en-CA"/>
        </w:rPr>
        <w:t xml:space="preserve">Findings consistently </w:t>
      </w:r>
      <w:r w:rsidR="00D115A1" w:rsidRPr="00993DBB">
        <w:rPr>
          <w:rFonts w:asciiTheme="majorHAnsi" w:eastAsia="Times New Roman" w:hAnsiTheme="majorHAnsi" w:cs="Arial"/>
          <w:color w:val="000000" w:themeColor="text1"/>
          <w:lang w:val="en-CA"/>
        </w:rPr>
        <w:t>show</w:t>
      </w:r>
      <w:r w:rsidRPr="00993DBB">
        <w:rPr>
          <w:rFonts w:asciiTheme="majorHAnsi" w:eastAsia="Times New Roman" w:hAnsiTheme="majorHAnsi" w:cs="Arial"/>
          <w:color w:val="000000" w:themeColor="text1"/>
          <w:lang w:val="en-CA"/>
        </w:rPr>
        <w:t xml:space="preserve"> that student nutrition and food literacy programs result in students eating more fruits and vegetables per day in the cafeteria, classroom, or at home</w:t>
      </w:r>
      <w:r w:rsidR="00D115A1" w:rsidRPr="00993DBB">
        <w:rPr>
          <w:rFonts w:asciiTheme="majorHAnsi" w:eastAsia="Times New Roman" w:hAnsiTheme="majorHAnsi" w:cs="Arial"/>
          <w:color w:val="000000" w:themeColor="text1"/>
          <w:lang w:val="en-CA"/>
        </w:rPr>
        <w:t>; that these programs result in students</w:t>
      </w:r>
      <w:r w:rsidRPr="00993DBB">
        <w:rPr>
          <w:rFonts w:asciiTheme="majorHAnsi" w:eastAsia="Times New Roman" w:hAnsiTheme="majorHAnsi" w:cs="Arial"/>
          <w:color w:val="000000" w:themeColor="text1"/>
          <w:lang w:val="en-CA"/>
        </w:rPr>
        <w:t xml:space="preserve"> making positive lifestyle c</w:t>
      </w:r>
      <w:r w:rsidR="00EC01A1">
        <w:rPr>
          <w:rFonts w:asciiTheme="majorHAnsi" w:eastAsia="Times New Roman" w:hAnsiTheme="majorHAnsi" w:cs="Arial"/>
          <w:color w:val="000000" w:themeColor="text1"/>
          <w:lang w:val="en-CA"/>
        </w:rPr>
        <w:t>hanges;</w:t>
      </w:r>
      <w:r w:rsidRPr="00993DBB">
        <w:rPr>
          <w:rFonts w:asciiTheme="majorHAnsi" w:eastAsia="Times New Roman" w:hAnsiTheme="majorHAnsi" w:cs="Arial"/>
          <w:color w:val="000000" w:themeColor="text1"/>
          <w:lang w:val="en-CA"/>
        </w:rPr>
        <w:t xml:space="preserve"> a</w:t>
      </w:r>
      <w:r w:rsidR="00D115A1" w:rsidRPr="00993DBB">
        <w:rPr>
          <w:rFonts w:asciiTheme="majorHAnsi" w:eastAsia="Times New Roman" w:hAnsiTheme="majorHAnsi" w:cs="Arial"/>
          <w:color w:val="000000" w:themeColor="text1"/>
          <w:lang w:val="en-CA"/>
        </w:rPr>
        <w:t>nd that they</w:t>
      </w:r>
      <w:r w:rsidRPr="00993DBB">
        <w:rPr>
          <w:rFonts w:asciiTheme="majorHAnsi" w:eastAsia="Times New Roman" w:hAnsiTheme="majorHAnsi" w:cs="Arial"/>
          <w:color w:val="000000" w:themeColor="text1"/>
          <w:lang w:val="en-CA"/>
        </w:rPr>
        <w:t xml:space="preserve"> improv</w:t>
      </w:r>
      <w:r w:rsidR="00D115A1" w:rsidRPr="00993DBB">
        <w:rPr>
          <w:rFonts w:asciiTheme="majorHAnsi" w:eastAsia="Times New Roman" w:hAnsiTheme="majorHAnsi" w:cs="Arial"/>
          <w:color w:val="000000" w:themeColor="text1"/>
          <w:lang w:val="en-CA"/>
        </w:rPr>
        <w:t>e</w:t>
      </w:r>
      <w:r w:rsidRPr="00993DBB">
        <w:rPr>
          <w:rFonts w:asciiTheme="majorHAnsi" w:eastAsia="Times New Roman" w:hAnsiTheme="majorHAnsi" w:cs="Arial"/>
          <w:color w:val="000000" w:themeColor="text1"/>
          <w:lang w:val="en-CA"/>
        </w:rPr>
        <w:t xml:space="preserve"> knowledge and attitudes about healthy eating.</w:t>
      </w:r>
      <w:r w:rsidR="00E836AE">
        <w:rPr>
          <w:rStyle w:val="EndnoteReference"/>
          <w:rFonts w:asciiTheme="majorHAnsi" w:eastAsia="Times New Roman" w:hAnsiTheme="majorHAnsi" w:cs="Arial"/>
          <w:color w:val="000000" w:themeColor="text1"/>
          <w:lang w:val="en-CA"/>
        </w:rPr>
        <w:endnoteReference w:id="3"/>
      </w:r>
    </w:p>
    <w:p w14:paraId="31A65890" w14:textId="77777777" w:rsidR="00B7387D" w:rsidRDefault="00B7387D" w:rsidP="00F4203C">
      <w:pPr>
        <w:rPr>
          <w:rFonts w:cs="Times New Roman"/>
        </w:rPr>
      </w:pPr>
    </w:p>
    <w:p w14:paraId="55A05298" w14:textId="65A86057" w:rsidR="00B7387D" w:rsidRPr="004C1BF1" w:rsidRDefault="00112B0B" w:rsidP="00821451">
      <w:pPr>
        <w:spacing w:after="120"/>
        <w:rPr>
          <w:rFonts w:cs="Times New Roman"/>
          <w:u w:val="single"/>
        </w:rPr>
      </w:pPr>
      <w:r>
        <w:rPr>
          <w:u w:val="single"/>
        </w:rPr>
        <w:t>SNPs and food literacy i</w:t>
      </w:r>
      <w:r w:rsidR="00B7387D">
        <w:rPr>
          <w:u w:val="single"/>
        </w:rPr>
        <w:t>mprove</w:t>
      </w:r>
      <w:r w:rsidR="005E2521">
        <w:rPr>
          <w:u w:val="single"/>
        </w:rPr>
        <w:t xml:space="preserve"> a</w:t>
      </w:r>
      <w:r w:rsidR="007727FD">
        <w:rPr>
          <w:u w:val="single"/>
        </w:rPr>
        <w:t>cademic attendance and performance</w:t>
      </w:r>
      <w:r w:rsidR="00B10D71">
        <w:rPr>
          <w:u w:val="single"/>
        </w:rPr>
        <w:t xml:space="preserve"> </w:t>
      </w:r>
    </w:p>
    <w:p w14:paraId="471D3A75" w14:textId="0B273D2F" w:rsidR="009B7E1F" w:rsidRPr="00EC01A1" w:rsidRDefault="00253744" w:rsidP="00670C4A">
      <w:pPr>
        <w:rPr>
          <w:rFonts w:cs="Times New Roman"/>
          <w:u w:val="single"/>
        </w:rPr>
      </w:pPr>
      <w:r>
        <w:t>For many children and youth</w:t>
      </w:r>
      <w:r w:rsidR="00B7387D">
        <w:t>, breakfasts, snacks or lunches provided by student nutrition programs are the only meal or the only healthy meal that</w:t>
      </w:r>
      <w:r w:rsidR="00F5338C">
        <w:t xml:space="preserve"> they </w:t>
      </w:r>
      <w:r w:rsidR="00B7387D">
        <w:t>eat during the day.</w:t>
      </w:r>
      <w:r w:rsidR="00B7387D">
        <w:rPr>
          <w:rStyle w:val="EndnoteReference"/>
          <w:rFonts w:cs="Times New Roman"/>
        </w:rPr>
        <w:endnoteReference w:id="4"/>
      </w:r>
      <w:r w:rsidR="00B7387D">
        <w:t xml:space="preserve"> A vast body of evidence shows that student nutrition programs contribute significantly to reducing tardiness and illness, to improving students’ behaviour in class, and </w:t>
      </w:r>
      <w:r w:rsidR="00F5338C">
        <w:t xml:space="preserve">to improving students’ </w:t>
      </w:r>
      <w:r w:rsidR="00B7387D">
        <w:t>abilities to concentrate, retain and apply information.</w:t>
      </w:r>
      <w:r w:rsidR="00B7387D">
        <w:rPr>
          <w:rStyle w:val="EndnoteReference"/>
          <w:rFonts w:cs="Times New Roman"/>
        </w:rPr>
        <w:endnoteReference w:id="5"/>
      </w:r>
      <w:r w:rsidR="00B7387D">
        <w:t xml:space="preserve">  </w:t>
      </w:r>
      <w:r w:rsidR="00B7387D">
        <w:rPr>
          <w:rFonts w:cs="Times New Roman"/>
          <w:u w:val="single"/>
        </w:rPr>
        <w:t xml:space="preserve"> </w:t>
      </w:r>
    </w:p>
    <w:p w14:paraId="47587923" w14:textId="77777777" w:rsidR="009B7E1F" w:rsidRDefault="009B7E1F" w:rsidP="00670C4A">
      <w:pPr>
        <w:rPr>
          <w:rFonts w:cs="Times New Roman"/>
          <w:u w:val="single"/>
        </w:rPr>
      </w:pPr>
    </w:p>
    <w:p w14:paraId="4FC5E939" w14:textId="10AE8003" w:rsidR="00B7387D" w:rsidRDefault="00112B0B" w:rsidP="00792842">
      <w:pPr>
        <w:spacing w:after="120"/>
      </w:pPr>
      <w:r>
        <w:rPr>
          <w:rFonts w:cs="Times New Roman"/>
          <w:u w:val="single"/>
        </w:rPr>
        <w:t>SNPs and food literacy p</w:t>
      </w:r>
      <w:r w:rsidR="00B97535">
        <w:rPr>
          <w:rFonts w:cs="Times New Roman"/>
          <w:u w:val="single"/>
        </w:rPr>
        <w:t xml:space="preserve">rovide </w:t>
      </w:r>
      <w:r w:rsidR="00B7387D">
        <w:rPr>
          <w:rFonts w:cs="Times New Roman"/>
          <w:u w:val="single"/>
        </w:rPr>
        <w:t>children with essential life skills</w:t>
      </w:r>
    </w:p>
    <w:p w14:paraId="267EBCA5" w14:textId="16ED6500" w:rsidR="00907F76" w:rsidRDefault="00907F76" w:rsidP="00670C4A">
      <w:r>
        <w:rPr>
          <w:color w:val="6E6F71"/>
          <w:lang w:val="en-CA"/>
        </w:rPr>
        <w:t>A</w:t>
      </w:r>
      <w:r w:rsidRPr="004F41DA">
        <w:rPr>
          <w:lang w:val="en-CA"/>
        </w:rPr>
        <w:t xml:space="preserve"> lack of self-efficacy and self-perceived poor food skills </w:t>
      </w:r>
      <w:r>
        <w:rPr>
          <w:lang w:val="en-CA"/>
        </w:rPr>
        <w:t>have been</w:t>
      </w:r>
      <w:r w:rsidRPr="004F41DA">
        <w:rPr>
          <w:lang w:val="en-CA"/>
        </w:rPr>
        <w:t xml:space="preserve"> identified </w:t>
      </w:r>
      <w:r>
        <w:rPr>
          <w:lang w:val="en-CA"/>
        </w:rPr>
        <w:t xml:space="preserve">as </w:t>
      </w:r>
      <w:r w:rsidRPr="004F41DA">
        <w:rPr>
          <w:lang w:val="en-CA"/>
        </w:rPr>
        <w:t xml:space="preserve">barriers to </w:t>
      </w:r>
      <w:r w:rsidRPr="001F3326">
        <w:rPr>
          <w:lang w:val="en-CA"/>
        </w:rPr>
        <w:t>making healthy food choices and as leading to greater reliance on pre-prepared foods</w:t>
      </w:r>
      <w:r w:rsidRPr="001F3326">
        <w:rPr>
          <w:color w:val="6E6F71"/>
          <w:lang w:val="en-CA"/>
        </w:rPr>
        <w:t>.</w:t>
      </w:r>
      <w:r w:rsidRPr="001F3326">
        <w:rPr>
          <w:rStyle w:val="EndnoteReference"/>
        </w:rPr>
        <w:t xml:space="preserve"> </w:t>
      </w:r>
      <w:r w:rsidR="00083A1C">
        <w:rPr>
          <w:rStyle w:val="EndnoteReference"/>
        </w:rPr>
        <w:endnoteReference w:id="6"/>
      </w:r>
      <w:r w:rsidRPr="001F3326">
        <w:t xml:space="preserve"> Student nutrition programs and food literacy education in the school system </w:t>
      </w:r>
      <w:r w:rsidR="001F3326">
        <w:t>present opportunities for</w:t>
      </w:r>
      <w:r w:rsidRPr="001F3326">
        <w:t xml:space="preserve"> students to </w:t>
      </w:r>
      <w:r w:rsidR="001F3326" w:rsidRPr="001F3326">
        <w:t xml:space="preserve">gain the </w:t>
      </w:r>
      <w:r w:rsidRPr="001F3326">
        <w:t>necessary</w:t>
      </w:r>
      <w:r w:rsidRPr="00B2363D">
        <w:t xml:space="preserve"> skills to make healthy food choices and increase their self-efficacy to prepare nutritious meals for themselves.  </w:t>
      </w:r>
    </w:p>
    <w:p w14:paraId="11C519DC" w14:textId="1E067267" w:rsidR="007F02D3" w:rsidRPr="007F02D3" w:rsidRDefault="001F3326" w:rsidP="00670C4A">
      <w:pPr>
        <w:pStyle w:val="ListParagraph"/>
        <w:numPr>
          <w:ilvl w:val="0"/>
          <w:numId w:val="24"/>
        </w:numPr>
        <w:spacing w:before="120"/>
        <w:ind w:left="714" w:hanging="357"/>
        <w:contextualSpacing w:val="0"/>
        <w:rPr>
          <w:sz w:val="22"/>
          <w:szCs w:val="22"/>
        </w:rPr>
      </w:pPr>
      <w:r w:rsidRPr="001F3326">
        <w:rPr>
          <w:rFonts w:asciiTheme="majorHAnsi" w:hAnsiTheme="majorHAnsi"/>
        </w:rPr>
        <w:t>Teaching food skills within the education system is important, as children are not always provided with food skills or knowledge at home.</w:t>
      </w:r>
      <w:r w:rsidR="00083A1C" w:rsidRPr="00083A1C">
        <w:rPr>
          <w:rStyle w:val="EndnoteReference"/>
        </w:rPr>
        <w:t xml:space="preserve"> </w:t>
      </w:r>
      <w:r w:rsidR="00083A1C">
        <w:rPr>
          <w:rStyle w:val="EndnoteReference"/>
        </w:rPr>
        <w:endnoteReference w:id="7"/>
      </w:r>
      <w:r>
        <w:rPr>
          <w:rFonts w:asciiTheme="majorHAnsi" w:hAnsiTheme="majorHAnsi"/>
        </w:rPr>
        <w:t xml:space="preserve"> </w:t>
      </w:r>
    </w:p>
    <w:p w14:paraId="3AE2E0AA" w14:textId="517DB5BF" w:rsidR="001F3326" w:rsidRPr="001F3326" w:rsidRDefault="001F3326" w:rsidP="00670C4A">
      <w:pPr>
        <w:pStyle w:val="ListParagraph"/>
        <w:numPr>
          <w:ilvl w:val="0"/>
          <w:numId w:val="24"/>
        </w:numPr>
        <w:spacing w:before="120"/>
        <w:ind w:left="714" w:hanging="357"/>
        <w:contextualSpacing w:val="0"/>
        <w:rPr>
          <w:sz w:val="22"/>
          <w:szCs w:val="22"/>
        </w:rPr>
      </w:pPr>
      <w:r w:rsidRPr="00B2363D">
        <w:t>Making food literacy part of the mainstream school curriculum is supported by 95% of Ontarians.</w:t>
      </w:r>
      <w:r w:rsidRPr="00B2363D">
        <w:rPr>
          <w:rStyle w:val="EndnoteReference"/>
        </w:rPr>
        <w:endnoteReference w:id="8"/>
      </w:r>
    </w:p>
    <w:p w14:paraId="216C6BC6" w14:textId="48CC6E4C" w:rsidR="009B7E1F" w:rsidRPr="001F3326" w:rsidRDefault="009B7E1F" w:rsidP="001F3326">
      <w:pPr>
        <w:pStyle w:val="ListParagraph"/>
        <w:numPr>
          <w:ilvl w:val="0"/>
          <w:numId w:val="24"/>
        </w:numPr>
        <w:spacing w:before="120"/>
        <w:ind w:left="714" w:hanging="357"/>
        <w:contextualSpacing w:val="0"/>
        <w:rPr>
          <w:sz w:val="22"/>
          <w:szCs w:val="22"/>
        </w:rPr>
      </w:pPr>
      <w:r w:rsidRPr="001F3326">
        <w:rPr>
          <w:rFonts w:asciiTheme="majorHAnsi" w:eastAsia="Times New Roman" w:hAnsiTheme="majorHAnsi" w:cs="Arial"/>
          <w:shd w:val="clear" w:color="auto" w:fill="FFFFFF"/>
          <w:lang w:val="en-CA"/>
        </w:rPr>
        <w:t xml:space="preserve">Student nutrition programs </w:t>
      </w:r>
      <w:r w:rsidRPr="001F3326">
        <w:rPr>
          <w:rFonts w:asciiTheme="majorHAnsi" w:hAnsiTheme="majorHAnsi" w:cs="Arial"/>
          <w:lang w:val="en-CA"/>
        </w:rPr>
        <w:t xml:space="preserve">have the potential to </w:t>
      </w:r>
      <w:r w:rsidR="00907F76" w:rsidRPr="001F3326">
        <w:rPr>
          <w:rFonts w:asciiTheme="majorHAnsi" w:hAnsiTheme="majorHAnsi" w:cs="Arial"/>
          <w:lang w:val="en-CA"/>
        </w:rPr>
        <w:t>go beyond providing meals and snacks</w:t>
      </w:r>
      <w:r w:rsidRPr="001F3326">
        <w:rPr>
          <w:rFonts w:asciiTheme="majorHAnsi" w:hAnsiTheme="majorHAnsi" w:cs="Arial"/>
          <w:lang w:val="en-CA"/>
        </w:rPr>
        <w:t xml:space="preserve">. </w:t>
      </w:r>
      <w:r w:rsidR="00907F76" w:rsidRPr="001F3326">
        <w:rPr>
          <w:rFonts w:asciiTheme="majorHAnsi" w:hAnsiTheme="majorHAnsi" w:cs="Arial"/>
          <w:lang w:val="en-CA"/>
        </w:rPr>
        <w:t xml:space="preserve">Food provides an </w:t>
      </w:r>
      <w:r w:rsidRPr="001F3326">
        <w:rPr>
          <w:rFonts w:asciiTheme="majorHAnsi" w:hAnsiTheme="majorHAnsi" w:cs="Arial"/>
          <w:lang w:val="en-CA"/>
        </w:rPr>
        <w:t>avenue for education on a wide variety of topics.</w:t>
      </w:r>
      <w:r w:rsidRPr="001F3326">
        <w:rPr>
          <w:rFonts w:asciiTheme="majorHAnsi" w:eastAsia="Times New Roman" w:hAnsiTheme="majorHAnsi" w:cs="Arial"/>
          <w:shd w:val="clear" w:color="auto" w:fill="FFFFFF"/>
          <w:lang w:val="en-CA"/>
        </w:rPr>
        <w:t xml:space="preserve"> </w:t>
      </w:r>
    </w:p>
    <w:p w14:paraId="576F5329" w14:textId="77777777" w:rsidR="009B7E1F" w:rsidRDefault="009B7E1F" w:rsidP="00670C4A"/>
    <w:p w14:paraId="65B03672" w14:textId="77777777" w:rsidR="001F3326" w:rsidRDefault="00F5338C" w:rsidP="00161C66">
      <w:r>
        <w:t>F</w:t>
      </w:r>
      <w:r w:rsidR="00B7387D">
        <w:t>ood focused activities such as food gardens</w:t>
      </w:r>
      <w:r>
        <w:t>, food skills, and</w:t>
      </w:r>
      <w:r w:rsidR="00B7387D">
        <w:t xml:space="preserve"> </w:t>
      </w:r>
      <w:r>
        <w:t>cooking</w:t>
      </w:r>
      <w:r w:rsidR="00B7387D">
        <w:t xml:space="preserve"> programs help to bring education to life for children and youth, especially when linked to the curriculum. By taking learning outside of the classroom and into real-world settings children and youth become more engaged in learning about topics from math and science to English and history and gain useful and marketable skills. </w:t>
      </w:r>
    </w:p>
    <w:p w14:paraId="6C96C27B" w14:textId="4D8B1ED2" w:rsidR="007F02D3" w:rsidRPr="007F02D3" w:rsidRDefault="001F3326" w:rsidP="007F02D3">
      <w:pPr>
        <w:pStyle w:val="ListParagraph"/>
        <w:numPr>
          <w:ilvl w:val="0"/>
          <w:numId w:val="25"/>
        </w:numPr>
        <w:spacing w:before="120"/>
        <w:ind w:left="714" w:hanging="357"/>
      </w:pPr>
      <w:r w:rsidRPr="001F3326">
        <w:rPr>
          <w:rFonts w:asciiTheme="majorHAnsi" w:hAnsiTheme="majorHAnsi" w:cs="Arial"/>
          <w:lang w:val="en-CA"/>
        </w:rPr>
        <w:t>Many teachers have learned the incredible potential of school gardens as a fun educational vehicle for virtually every subject area. “They allow students to become familiar with the challenges and rewards of growing food. In many cases students also learn how to prepare the products of their labour into nutritious and tasty meals.”</w:t>
      </w:r>
      <w:r w:rsidR="00083A1C">
        <w:rPr>
          <w:rStyle w:val="EndnoteReference"/>
          <w:rFonts w:asciiTheme="majorHAnsi" w:hAnsiTheme="majorHAnsi" w:cs="Arial"/>
          <w:lang w:val="en-CA"/>
        </w:rPr>
        <w:endnoteReference w:id="9"/>
      </w:r>
    </w:p>
    <w:p w14:paraId="4AD9EABA" w14:textId="6EAFE583" w:rsidR="007F02D3" w:rsidRDefault="007F02D3" w:rsidP="007F02D3">
      <w:pPr>
        <w:pStyle w:val="ListParagraph"/>
        <w:numPr>
          <w:ilvl w:val="0"/>
          <w:numId w:val="25"/>
        </w:numPr>
        <w:spacing w:before="120"/>
        <w:ind w:left="714" w:hanging="357"/>
        <w:contextualSpacing w:val="0"/>
      </w:pPr>
      <w:r>
        <w:lastRenderedPageBreak/>
        <w:t>In a study conducted by Evergreen, 91 percent of survey respondents involved in their school food gardens felt that the garden fostered awareness and appreciation of nutritious food, and 89 percent felt that the gardens were providing important opportunities for physical activity.</w:t>
      </w:r>
      <w:r>
        <w:rPr>
          <w:rStyle w:val="EndnoteReference"/>
          <w:rFonts w:cs="Times New Roman"/>
        </w:rPr>
        <w:endnoteReference w:id="10"/>
      </w:r>
    </w:p>
    <w:p w14:paraId="4A859CF5" w14:textId="77777777" w:rsidR="001F3326" w:rsidRDefault="001F3326" w:rsidP="00161C66"/>
    <w:p w14:paraId="64F23871" w14:textId="2EDE6B17" w:rsidR="00B7387D" w:rsidRDefault="00B7387D" w:rsidP="00161C66">
      <w:r>
        <w:t>And yet, o</w:t>
      </w:r>
      <w:r w:rsidRPr="005D196F">
        <w:t xml:space="preserve">nly </w:t>
      </w:r>
      <w:r>
        <w:t>0.5 percent</w:t>
      </w:r>
      <w:r w:rsidRPr="005D196F">
        <w:t xml:space="preserve"> of Canada’s 16,000 schools have food gardens. In contrast, 10 percent of schools in the UK </w:t>
      </w:r>
      <w:r w:rsidR="007F02D3">
        <w:t xml:space="preserve">and </w:t>
      </w:r>
      <w:r w:rsidRPr="005D196F">
        <w:t>30 percent of California schools hav</w:t>
      </w:r>
      <w:r w:rsidR="007F02D3">
        <w:t>e food gardens</w:t>
      </w:r>
      <w:r w:rsidRPr="005D196F">
        <w:t>.</w:t>
      </w:r>
      <w:r>
        <w:rPr>
          <w:rStyle w:val="EndnoteReference"/>
          <w:rFonts w:cs="Times New Roman"/>
        </w:rPr>
        <w:endnoteReference w:id="11"/>
      </w:r>
      <w:r>
        <w:t xml:space="preserve"> </w:t>
      </w:r>
    </w:p>
    <w:p w14:paraId="28C364A1" w14:textId="77777777" w:rsidR="00624C62" w:rsidRDefault="00624C62" w:rsidP="00F4203C">
      <w:pPr>
        <w:rPr>
          <w:u w:val="single"/>
        </w:rPr>
      </w:pPr>
    </w:p>
    <w:p w14:paraId="6AF82BDC" w14:textId="230FD033" w:rsidR="00B7387D" w:rsidRPr="00CC43C3" w:rsidRDefault="00112B0B" w:rsidP="00792842">
      <w:pPr>
        <w:spacing w:after="120"/>
        <w:rPr>
          <w:u w:val="single"/>
        </w:rPr>
      </w:pPr>
      <w:r>
        <w:rPr>
          <w:u w:val="single"/>
        </w:rPr>
        <w:t xml:space="preserve">SNPs and food literacy have </w:t>
      </w:r>
      <w:r w:rsidR="00C93DC4">
        <w:rPr>
          <w:u w:val="single"/>
        </w:rPr>
        <w:t>the</w:t>
      </w:r>
      <w:r>
        <w:rPr>
          <w:u w:val="single"/>
        </w:rPr>
        <w:t xml:space="preserve"> potential to e</w:t>
      </w:r>
      <w:r w:rsidR="00B7387D">
        <w:rPr>
          <w:u w:val="single"/>
        </w:rPr>
        <w:t xml:space="preserve">nhance Ontario’s </w:t>
      </w:r>
      <w:r w:rsidR="00EF0B8E">
        <w:rPr>
          <w:u w:val="single"/>
        </w:rPr>
        <w:t>e</w:t>
      </w:r>
      <w:r w:rsidR="00B7387D" w:rsidRPr="00CC43C3">
        <w:rPr>
          <w:u w:val="single"/>
        </w:rPr>
        <w:t xml:space="preserve">conomic </w:t>
      </w:r>
      <w:r w:rsidR="00EF0B8E">
        <w:rPr>
          <w:u w:val="single"/>
        </w:rPr>
        <w:t>r</w:t>
      </w:r>
      <w:r w:rsidR="00B7387D" w:rsidRPr="00CC43C3">
        <w:rPr>
          <w:u w:val="single"/>
        </w:rPr>
        <w:t>esilience</w:t>
      </w:r>
    </w:p>
    <w:p w14:paraId="43467F86" w14:textId="71D02C41" w:rsidR="005F43E3" w:rsidRDefault="00991280" w:rsidP="00670C4A">
      <w:pPr>
        <w:rPr>
          <w:rFonts w:asciiTheme="majorHAnsi" w:hAnsiTheme="majorHAnsi" w:cs="Arial"/>
          <w:color w:val="000000" w:themeColor="text1"/>
        </w:rPr>
      </w:pPr>
      <w:r>
        <w:t>N</w:t>
      </w:r>
      <w:r w:rsidRPr="004F41DA">
        <w:t>utrition programs, culinary programs, cafeterias</w:t>
      </w:r>
      <w:r>
        <w:rPr>
          <w:color w:val="FF0000"/>
        </w:rPr>
        <w:t xml:space="preserve"> </w:t>
      </w:r>
      <w:r>
        <w:t xml:space="preserve">and </w:t>
      </w:r>
      <w:r w:rsidRPr="004F41DA">
        <w:t>contracted food service providers</w:t>
      </w:r>
      <w:r>
        <w:t xml:space="preserve"> in Ontario schools purchase millions of dollars of food annually.  </w:t>
      </w:r>
      <w:r w:rsidR="00C93DC4">
        <w:rPr>
          <w:rFonts w:asciiTheme="majorHAnsi" w:hAnsiTheme="majorHAnsi" w:cs="Arial"/>
          <w:color w:val="000000" w:themeColor="text1"/>
        </w:rPr>
        <w:t>Ontario has a lot to gain by supporting p</w:t>
      </w:r>
      <w:r w:rsidR="00EF0B8E" w:rsidRPr="00063223">
        <w:rPr>
          <w:rFonts w:asciiTheme="majorHAnsi" w:hAnsiTheme="majorHAnsi" w:cs="Arial"/>
          <w:color w:val="000000" w:themeColor="text1"/>
        </w:rPr>
        <w:t xml:space="preserve">ublic institutions </w:t>
      </w:r>
      <w:r w:rsidR="00C93DC4">
        <w:rPr>
          <w:rFonts w:asciiTheme="majorHAnsi" w:hAnsiTheme="majorHAnsi" w:cs="Arial"/>
          <w:color w:val="000000" w:themeColor="text1"/>
        </w:rPr>
        <w:t xml:space="preserve">to </w:t>
      </w:r>
      <w:r w:rsidR="00EF0B8E" w:rsidRPr="00063223">
        <w:rPr>
          <w:rFonts w:asciiTheme="majorHAnsi" w:hAnsiTheme="majorHAnsi" w:cs="Arial"/>
          <w:color w:val="000000" w:themeColor="text1"/>
        </w:rPr>
        <w:t>buy local, sustainably produced food.</w:t>
      </w:r>
      <w:r w:rsidR="00EF0B8E">
        <w:rPr>
          <w:rFonts w:asciiTheme="majorHAnsi" w:hAnsiTheme="majorHAnsi" w:cs="Arial"/>
          <w:color w:val="000000" w:themeColor="text1"/>
        </w:rPr>
        <w:t xml:space="preserve">  </w:t>
      </w:r>
    </w:p>
    <w:p w14:paraId="088E414A" w14:textId="77777777" w:rsidR="00991280" w:rsidRDefault="00B7387D" w:rsidP="00991280">
      <w:pPr>
        <w:pStyle w:val="ListParagraph"/>
        <w:numPr>
          <w:ilvl w:val="0"/>
          <w:numId w:val="26"/>
        </w:numPr>
        <w:spacing w:before="120"/>
        <w:ind w:left="714" w:hanging="357"/>
        <w:contextualSpacing w:val="0"/>
      </w:pPr>
      <w:r>
        <w:t xml:space="preserve">Shifting some of the dollars </w:t>
      </w:r>
      <w:r w:rsidR="00991280">
        <w:t xml:space="preserve">spent </w:t>
      </w:r>
      <w:r>
        <w:t>to</w:t>
      </w:r>
      <w:r w:rsidR="00991280">
        <w:t>wards</w:t>
      </w:r>
      <w:r>
        <w:t xml:space="preserve"> purchasing Ontario food would create new markets for Ontario products and </w:t>
      </w:r>
      <w:r w:rsidR="00C93DC4">
        <w:t>support the local</w:t>
      </w:r>
      <w:r>
        <w:t xml:space="preserve"> economy. </w:t>
      </w:r>
      <w:r w:rsidR="00C93DC4">
        <w:t xml:space="preserve"> </w:t>
      </w:r>
    </w:p>
    <w:p w14:paraId="360D7BF4" w14:textId="1356BEE2" w:rsidR="00991280" w:rsidRDefault="00C93DC4" w:rsidP="00F4203C">
      <w:pPr>
        <w:pStyle w:val="ListParagraph"/>
        <w:numPr>
          <w:ilvl w:val="0"/>
          <w:numId w:val="26"/>
        </w:numPr>
        <w:spacing w:before="120"/>
        <w:ind w:left="714" w:hanging="357"/>
        <w:contextualSpacing w:val="0"/>
        <w:rPr>
          <w:rFonts w:asciiTheme="majorHAnsi" w:eastAsia="Times New Roman" w:hAnsiTheme="majorHAnsi" w:cs="Arial"/>
          <w:color w:val="000000"/>
          <w:shd w:val="clear" w:color="auto" w:fill="FFFFFF"/>
        </w:rPr>
      </w:pPr>
      <w:r>
        <w:t xml:space="preserve">Strengthening institutional purchasing would </w:t>
      </w:r>
      <w:r w:rsidR="00EF0B8E" w:rsidRPr="00991280">
        <w:rPr>
          <w:rFonts w:asciiTheme="majorHAnsi" w:hAnsiTheme="majorHAnsi" w:cs="Arial"/>
          <w:color w:val="000000" w:themeColor="text1"/>
        </w:rPr>
        <w:t xml:space="preserve">build up a predictable base of demand </w:t>
      </w:r>
      <w:r w:rsidRPr="00991280">
        <w:rPr>
          <w:rFonts w:asciiTheme="majorHAnsi" w:hAnsiTheme="majorHAnsi" w:cs="Arial"/>
          <w:color w:val="000000" w:themeColor="text1"/>
        </w:rPr>
        <w:t xml:space="preserve">for local food </w:t>
      </w:r>
      <w:r w:rsidR="00EF0B8E" w:rsidRPr="00991280">
        <w:rPr>
          <w:rFonts w:asciiTheme="majorHAnsi" w:hAnsiTheme="majorHAnsi" w:cs="Arial"/>
          <w:color w:val="000000" w:themeColor="text1"/>
        </w:rPr>
        <w:t xml:space="preserve">and </w:t>
      </w:r>
      <w:r w:rsidRPr="00991280">
        <w:rPr>
          <w:rFonts w:asciiTheme="majorHAnsi" w:hAnsiTheme="majorHAnsi" w:cs="Arial"/>
          <w:color w:val="000000" w:themeColor="text1"/>
        </w:rPr>
        <w:t xml:space="preserve">provide opportunities to </w:t>
      </w:r>
      <w:r w:rsidR="00EF0B8E" w:rsidRPr="00991280">
        <w:rPr>
          <w:rFonts w:asciiTheme="majorHAnsi" w:hAnsiTheme="majorHAnsi" w:cs="Arial"/>
          <w:color w:val="000000" w:themeColor="text1"/>
        </w:rPr>
        <w:t>help rebuild local food infrastructure.</w:t>
      </w:r>
      <w:r w:rsidR="00083A1C">
        <w:rPr>
          <w:rStyle w:val="EndnoteReference"/>
          <w:rFonts w:asciiTheme="majorHAnsi" w:hAnsiTheme="majorHAnsi" w:cs="Arial"/>
          <w:color w:val="000000" w:themeColor="text1"/>
        </w:rPr>
        <w:endnoteReference w:id="12"/>
      </w:r>
      <w:r w:rsidR="00EF0B8E" w:rsidRPr="00991280">
        <w:rPr>
          <w:rFonts w:asciiTheme="majorHAnsi" w:eastAsia="Times New Roman" w:hAnsiTheme="majorHAnsi" w:cs="Arial"/>
          <w:color w:val="000000"/>
          <w:shd w:val="clear" w:color="auto" w:fill="FFFFFF"/>
        </w:rPr>
        <w:t xml:space="preserve"> </w:t>
      </w:r>
    </w:p>
    <w:p w14:paraId="578DA7BB" w14:textId="77777777" w:rsidR="00BC5B5F" w:rsidRPr="00BC5B5F" w:rsidRDefault="00624C62" w:rsidP="00F4203C">
      <w:pPr>
        <w:pStyle w:val="ListParagraph"/>
        <w:numPr>
          <w:ilvl w:val="0"/>
          <w:numId w:val="26"/>
        </w:numPr>
        <w:spacing w:before="120"/>
        <w:ind w:left="714" w:hanging="357"/>
        <w:contextualSpacing w:val="0"/>
        <w:rPr>
          <w:rFonts w:asciiTheme="majorHAnsi" w:eastAsia="Times New Roman" w:hAnsiTheme="majorHAnsi" w:cs="Arial"/>
          <w:color w:val="000000"/>
          <w:shd w:val="clear" w:color="auto" w:fill="FFFFFF"/>
        </w:rPr>
      </w:pPr>
      <w:r>
        <w:t xml:space="preserve">For </w:t>
      </w:r>
      <w:r w:rsidR="00161C66">
        <w:t xml:space="preserve">small- to medium-sized </w:t>
      </w:r>
      <w:r>
        <w:t>farmers</w:t>
      </w:r>
      <w:r w:rsidR="00161C66">
        <w:t>,</w:t>
      </w:r>
      <w:r>
        <w:t xml:space="preserve"> farm-to-school programs can be a new market</w:t>
      </w:r>
      <w:r w:rsidR="005F43E3">
        <w:t>,</w:t>
      </w:r>
      <w:r>
        <w:t xml:space="preserve"> an additional source of income, a meaningful way to become a part of the community, and an outlet to educate future consumers and potential farmers about agriculture. </w:t>
      </w:r>
    </w:p>
    <w:p w14:paraId="63563601" w14:textId="527D5ADF" w:rsidR="00260465" w:rsidRPr="00BC5B5F" w:rsidRDefault="00EF0B8E" w:rsidP="00F4203C">
      <w:pPr>
        <w:pStyle w:val="ListParagraph"/>
        <w:numPr>
          <w:ilvl w:val="0"/>
          <w:numId w:val="26"/>
        </w:numPr>
        <w:spacing w:before="120"/>
        <w:ind w:left="714" w:hanging="357"/>
        <w:contextualSpacing w:val="0"/>
        <w:rPr>
          <w:rFonts w:asciiTheme="majorHAnsi" w:eastAsia="Times New Roman" w:hAnsiTheme="majorHAnsi" w:cs="Arial"/>
          <w:color w:val="000000"/>
          <w:shd w:val="clear" w:color="auto" w:fill="FFFFFF"/>
        </w:rPr>
      </w:pPr>
      <w:r w:rsidRPr="00BC5B5F">
        <w:rPr>
          <w:rFonts w:asciiTheme="majorHAnsi" w:hAnsiTheme="majorHAnsi"/>
        </w:rPr>
        <w:t xml:space="preserve">In the long-term food literacy </w:t>
      </w:r>
      <w:r>
        <w:t>e</w:t>
      </w:r>
      <w:r w:rsidR="00B7387D">
        <w:t xml:space="preserve">ducation and exposure to healthy foods </w:t>
      </w:r>
      <w:r w:rsidR="003E3F40">
        <w:t>may</w:t>
      </w:r>
      <w:r w:rsidR="00B7387D">
        <w:t xml:space="preserve"> contribute to students growing accustomed to fresh, local food</w:t>
      </w:r>
      <w:r w:rsidR="00BC5B5F">
        <w:t xml:space="preserve"> and</w:t>
      </w:r>
      <w:r w:rsidR="00B7387D">
        <w:t xml:space="preserve"> </w:t>
      </w:r>
      <w:r w:rsidR="00BC5B5F">
        <w:t>ensure that they will prefer Ontario food in the future</w:t>
      </w:r>
      <w:r w:rsidR="00B7387D">
        <w:t>. As with recycling and smoking cessation it has</w:t>
      </w:r>
      <w:r w:rsidR="00BC5B5F">
        <w:t xml:space="preserve"> also</w:t>
      </w:r>
      <w:r w:rsidR="00B7387D">
        <w:t xml:space="preserve"> been shown that children and youth can influence their parents’ </w:t>
      </w:r>
      <w:r w:rsidR="00BC5B5F">
        <w:t xml:space="preserve">purchasing </w:t>
      </w:r>
      <w:r w:rsidR="00B7387D">
        <w:t>behaviour</w:t>
      </w:r>
      <w:r w:rsidR="00BC5B5F">
        <w:t>s</w:t>
      </w:r>
      <w:r w:rsidR="00B7387D">
        <w:t xml:space="preserve">. </w:t>
      </w:r>
    </w:p>
    <w:p w14:paraId="059706B6" w14:textId="77777777" w:rsidR="00B97535" w:rsidRDefault="00B97535" w:rsidP="00F4203C">
      <w:pPr>
        <w:rPr>
          <w:rFonts w:cs="Times New Roman"/>
        </w:rPr>
      </w:pPr>
    </w:p>
    <w:p w14:paraId="0DE93070" w14:textId="77777777" w:rsidR="00B97535" w:rsidRDefault="00B97535" w:rsidP="00F4203C">
      <w:pPr>
        <w:rPr>
          <w:rFonts w:cs="Times New Roman"/>
        </w:rPr>
      </w:pPr>
    </w:p>
    <w:p w14:paraId="45F3F4A1" w14:textId="19D219F1" w:rsidR="00F936CB" w:rsidRPr="00F936CB" w:rsidRDefault="00882537" w:rsidP="00F4203C">
      <w:pPr>
        <w:rPr>
          <w:rFonts w:cs="Times New Roman"/>
          <w:b/>
          <w:u w:val="single"/>
        </w:rPr>
      </w:pPr>
      <w:r w:rsidRPr="00E8362A">
        <w:rPr>
          <w:b/>
          <w:bCs/>
          <w:u w:val="single"/>
        </w:rPr>
        <w:t>Recommendations</w:t>
      </w:r>
      <w:r>
        <w:rPr>
          <w:b/>
          <w:bCs/>
          <w:u w:val="single"/>
        </w:rPr>
        <w:t xml:space="preserve"> </w:t>
      </w:r>
      <w:r w:rsidR="00DF2999">
        <w:rPr>
          <w:b/>
          <w:bCs/>
          <w:u w:val="single"/>
        </w:rPr>
        <w:t>for the Government of Ontario for a</w:t>
      </w:r>
      <w:r w:rsidR="00F936CB" w:rsidRPr="00F936CB">
        <w:rPr>
          <w:rFonts w:cs="Times New Roman"/>
          <w:b/>
          <w:u w:val="single"/>
        </w:rPr>
        <w:t xml:space="preserve"> </w:t>
      </w:r>
      <w:r>
        <w:rPr>
          <w:rFonts w:cs="Times New Roman"/>
          <w:b/>
          <w:u w:val="single"/>
        </w:rPr>
        <w:t>Whole</w:t>
      </w:r>
      <w:r w:rsidR="0001742B">
        <w:rPr>
          <w:rFonts w:cs="Times New Roman"/>
          <w:b/>
          <w:u w:val="single"/>
        </w:rPr>
        <w:t>-</w:t>
      </w:r>
      <w:r w:rsidR="00F936CB" w:rsidRPr="00F936CB">
        <w:rPr>
          <w:rFonts w:cs="Times New Roman"/>
          <w:b/>
          <w:u w:val="single"/>
        </w:rPr>
        <w:t>School</w:t>
      </w:r>
      <w:r>
        <w:rPr>
          <w:rFonts w:cs="Times New Roman"/>
          <w:b/>
          <w:u w:val="single"/>
        </w:rPr>
        <w:t xml:space="preserve"> Approach to Food Literacy and Food Security</w:t>
      </w:r>
    </w:p>
    <w:p w14:paraId="3AFCAA51" w14:textId="77777777" w:rsidR="00F936CB" w:rsidRDefault="00F936CB" w:rsidP="00F4203C">
      <w:pPr>
        <w:rPr>
          <w:rFonts w:cs="Times New Roman"/>
        </w:rPr>
      </w:pPr>
    </w:p>
    <w:p w14:paraId="0A1EB980" w14:textId="77777777" w:rsidR="00B7387D" w:rsidRPr="00E8362A" w:rsidRDefault="00B7387D" w:rsidP="00E8362A">
      <w:pPr>
        <w:pStyle w:val="ListParagraph"/>
        <w:numPr>
          <w:ilvl w:val="0"/>
          <w:numId w:val="12"/>
        </w:numPr>
        <w:ind w:left="425" w:hanging="357"/>
        <w:contextualSpacing w:val="0"/>
        <w:rPr>
          <w:b/>
        </w:rPr>
      </w:pPr>
      <w:r w:rsidRPr="00E8362A">
        <w:rPr>
          <w:b/>
        </w:rPr>
        <w:t>Create a provincial food literacy and student nutrition policy framework</w:t>
      </w:r>
    </w:p>
    <w:p w14:paraId="57BF0F55" w14:textId="09F77130" w:rsidR="00E43BD2" w:rsidRDefault="00B7387D" w:rsidP="005C6351">
      <w:pPr>
        <w:pStyle w:val="ListParagraph"/>
        <w:numPr>
          <w:ilvl w:val="0"/>
          <w:numId w:val="10"/>
        </w:numPr>
        <w:spacing w:before="120"/>
        <w:ind w:left="850" w:hanging="357"/>
        <w:contextualSpacing w:val="0"/>
      </w:pPr>
      <w:r>
        <w:t xml:space="preserve">Based on a provincial policy framework, </w:t>
      </w:r>
      <w:r w:rsidR="0008784F">
        <w:t xml:space="preserve">ask </w:t>
      </w:r>
      <w:r>
        <w:t xml:space="preserve">school boards </w:t>
      </w:r>
      <w:r w:rsidR="00161C66">
        <w:t xml:space="preserve">to </w:t>
      </w:r>
      <w:r>
        <w:t>develop mandatory food literacy and student nutrition polic</w:t>
      </w:r>
      <w:r w:rsidR="00161C66">
        <w:t>ies</w:t>
      </w:r>
      <w:r>
        <w:t>.</w:t>
      </w:r>
      <w:r w:rsidR="005C6351">
        <w:t xml:space="preserve">  </w:t>
      </w:r>
      <w:r>
        <w:t xml:space="preserve">The policy will inform programs and curriculum initiatives that deepen student food literacy and nutrition </w:t>
      </w:r>
      <w:r w:rsidRPr="003328F0">
        <w:t xml:space="preserve">knowledge, enabling </w:t>
      </w:r>
      <w:r w:rsidR="00161C66">
        <w:t>children and youth</w:t>
      </w:r>
      <w:r w:rsidRPr="003328F0">
        <w:t xml:space="preserve"> to live healthier lives</w:t>
      </w:r>
      <w:r>
        <w:t>.</w:t>
      </w:r>
    </w:p>
    <w:p w14:paraId="57BC13AF" w14:textId="77777777" w:rsidR="00B7387D" w:rsidRDefault="00B7387D" w:rsidP="00F4203C">
      <w:pPr>
        <w:rPr>
          <w:rFonts w:cs="Times New Roman"/>
          <w:b/>
        </w:rPr>
      </w:pPr>
    </w:p>
    <w:p w14:paraId="654BF850" w14:textId="77777777" w:rsidR="00FB5C42" w:rsidRPr="00B57858" w:rsidRDefault="00B57858" w:rsidP="00E8362A">
      <w:pPr>
        <w:pStyle w:val="ListParagraph"/>
        <w:numPr>
          <w:ilvl w:val="0"/>
          <w:numId w:val="12"/>
        </w:numPr>
        <w:ind w:left="426"/>
        <w:rPr>
          <w:rFonts w:cs="Times New Roman"/>
        </w:rPr>
      </w:pPr>
      <w:r>
        <w:rPr>
          <w:b/>
        </w:rPr>
        <w:t>Provide teacher training and support other infrastructure t</w:t>
      </w:r>
      <w:r w:rsidR="00ED3637">
        <w:rPr>
          <w:b/>
        </w:rPr>
        <w:t>hat</w:t>
      </w:r>
      <w:r>
        <w:rPr>
          <w:b/>
        </w:rPr>
        <w:t xml:space="preserve"> enable food literacy to be </w:t>
      </w:r>
      <w:r w:rsidR="00ED3637">
        <w:rPr>
          <w:b/>
        </w:rPr>
        <w:t>taught</w:t>
      </w:r>
      <w:r>
        <w:rPr>
          <w:b/>
        </w:rPr>
        <w:t xml:space="preserve"> </w:t>
      </w:r>
      <w:r w:rsidR="00ED3637">
        <w:rPr>
          <w:b/>
        </w:rPr>
        <w:t>using</w:t>
      </w:r>
      <w:r>
        <w:rPr>
          <w:b/>
        </w:rPr>
        <w:t xml:space="preserve"> the </w:t>
      </w:r>
      <w:r w:rsidR="00ED3637">
        <w:rPr>
          <w:b/>
        </w:rPr>
        <w:t xml:space="preserve">Ontario </w:t>
      </w:r>
      <w:r>
        <w:rPr>
          <w:b/>
        </w:rPr>
        <w:t xml:space="preserve">curriculum and </w:t>
      </w:r>
      <w:r w:rsidR="00ED3637">
        <w:rPr>
          <w:b/>
        </w:rPr>
        <w:t xml:space="preserve">for it to be integrated into </w:t>
      </w:r>
      <w:r>
        <w:rPr>
          <w:b/>
        </w:rPr>
        <w:t>other aspects of the school environment</w:t>
      </w:r>
    </w:p>
    <w:p w14:paraId="2E8209CD" w14:textId="1486F83C" w:rsidR="00ED3637" w:rsidRPr="00ED3637" w:rsidRDefault="00B57858" w:rsidP="00ED3637">
      <w:pPr>
        <w:pStyle w:val="ListParagraph"/>
        <w:numPr>
          <w:ilvl w:val="0"/>
          <w:numId w:val="16"/>
        </w:numPr>
        <w:spacing w:before="120"/>
        <w:ind w:left="782" w:hanging="357"/>
        <w:contextualSpacing w:val="0"/>
        <w:rPr>
          <w:rFonts w:cs="Times New Roman"/>
        </w:rPr>
      </w:pPr>
      <w:r w:rsidRPr="000E3BDF">
        <w:t>Include evidence-based food literacy, education about nutrition, food, growing and producing food, and food skills development as a mandatory part of the curr</w:t>
      </w:r>
      <w:r w:rsidR="00ED3637">
        <w:t>iculum at all grade levels.</w:t>
      </w:r>
    </w:p>
    <w:p w14:paraId="3BD37B66" w14:textId="77777777" w:rsidR="00161C66" w:rsidRDefault="00C317FC" w:rsidP="005C6351">
      <w:pPr>
        <w:pStyle w:val="ListParagraph"/>
        <w:numPr>
          <w:ilvl w:val="0"/>
          <w:numId w:val="16"/>
        </w:numPr>
        <w:spacing w:before="120"/>
        <w:ind w:left="782" w:hanging="357"/>
        <w:contextualSpacing w:val="0"/>
        <w:rPr>
          <w:rFonts w:cs="Times New Roman"/>
        </w:rPr>
      </w:pPr>
      <w:r>
        <w:rPr>
          <w:rFonts w:cs="Times New Roman"/>
        </w:rPr>
        <w:lastRenderedPageBreak/>
        <w:t xml:space="preserve">Ensure that new teachers are taught to make curriculum links to food literacy </w:t>
      </w:r>
      <w:r w:rsidR="00161C66">
        <w:rPr>
          <w:rFonts w:cs="Times New Roman"/>
        </w:rPr>
        <w:t xml:space="preserve">in many different subject areas </w:t>
      </w:r>
      <w:r>
        <w:rPr>
          <w:rFonts w:cs="Times New Roman"/>
        </w:rPr>
        <w:t>at all grade levels</w:t>
      </w:r>
      <w:r w:rsidR="00161C66">
        <w:rPr>
          <w:rFonts w:cs="Times New Roman"/>
        </w:rPr>
        <w:t>.</w:t>
      </w:r>
    </w:p>
    <w:p w14:paraId="7AFF03CA" w14:textId="132D37FF" w:rsidR="00E83A2D" w:rsidRDefault="00161C66" w:rsidP="00E83A2D">
      <w:pPr>
        <w:pStyle w:val="ListParagraph"/>
        <w:numPr>
          <w:ilvl w:val="0"/>
          <w:numId w:val="16"/>
        </w:numPr>
        <w:spacing w:before="120"/>
        <w:ind w:left="782" w:hanging="357"/>
        <w:contextualSpacing w:val="0"/>
        <w:rPr>
          <w:rFonts w:cs="Times New Roman"/>
        </w:rPr>
      </w:pPr>
      <w:r>
        <w:rPr>
          <w:rFonts w:cs="Times New Roman"/>
        </w:rPr>
        <w:t>Provide and support teacher training and</w:t>
      </w:r>
      <w:r w:rsidR="00C317FC">
        <w:rPr>
          <w:rFonts w:cs="Times New Roman"/>
        </w:rPr>
        <w:t xml:space="preserve"> professional development</w:t>
      </w:r>
      <w:r>
        <w:rPr>
          <w:rFonts w:cs="Times New Roman"/>
        </w:rPr>
        <w:t xml:space="preserve"> in the area of food literacy</w:t>
      </w:r>
      <w:r w:rsidR="00C317FC">
        <w:rPr>
          <w:rFonts w:cs="Times New Roman"/>
        </w:rPr>
        <w:t>.</w:t>
      </w:r>
    </w:p>
    <w:p w14:paraId="2B87BCE1" w14:textId="7C528AF7" w:rsidR="00E836AE" w:rsidRPr="00E836AE" w:rsidRDefault="00E836AE" w:rsidP="00E836AE">
      <w:pPr>
        <w:pStyle w:val="ListParagraph"/>
        <w:numPr>
          <w:ilvl w:val="0"/>
          <w:numId w:val="16"/>
        </w:numPr>
        <w:spacing w:before="120"/>
        <w:ind w:left="782" w:hanging="357"/>
        <w:contextualSpacing w:val="0"/>
        <w:rPr>
          <w:rFonts w:cs="Times New Roman"/>
        </w:rPr>
      </w:pPr>
      <w:r>
        <w:rPr>
          <w:rFonts w:cs="Times New Roman"/>
        </w:rPr>
        <w:t xml:space="preserve">Develop a set of </w:t>
      </w:r>
      <w:r w:rsidRPr="00E836AE">
        <w:rPr>
          <w:rFonts w:cs="Times New Roman"/>
        </w:rPr>
        <w:t>age-appropriate food skills</w:t>
      </w:r>
      <w:r>
        <w:rPr>
          <w:rFonts w:cs="Times New Roman"/>
        </w:rPr>
        <w:t xml:space="preserve"> </w:t>
      </w:r>
      <w:r w:rsidRPr="00E836AE">
        <w:rPr>
          <w:rFonts w:cs="Times New Roman"/>
        </w:rPr>
        <w:t>/</w:t>
      </w:r>
      <w:r>
        <w:rPr>
          <w:rFonts w:cs="Times New Roman"/>
        </w:rPr>
        <w:t xml:space="preserve"> </w:t>
      </w:r>
      <w:r w:rsidRPr="00E836AE">
        <w:rPr>
          <w:rFonts w:cs="Times New Roman"/>
        </w:rPr>
        <w:t>food literacy benchmarks and a common evaluation for cooking skills and culinary programs</w:t>
      </w:r>
      <w:r>
        <w:rPr>
          <w:rFonts w:cs="Times New Roman"/>
        </w:rPr>
        <w:t>.</w:t>
      </w:r>
    </w:p>
    <w:p w14:paraId="2D5129FF" w14:textId="77777777" w:rsidR="00FB5C42" w:rsidRPr="00C317FC" w:rsidRDefault="00FB5C42" w:rsidP="00556818">
      <w:pPr>
        <w:rPr>
          <w:rFonts w:cs="Times New Roman"/>
        </w:rPr>
      </w:pPr>
    </w:p>
    <w:p w14:paraId="1DC4D6E8" w14:textId="77777777" w:rsidR="00B7387D" w:rsidRPr="00E8362A" w:rsidRDefault="00B7387D" w:rsidP="00E8362A">
      <w:pPr>
        <w:pStyle w:val="ListParagraph"/>
        <w:numPr>
          <w:ilvl w:val="0"/>
          <w:numId w:val="12"/>
        </w:numPr>
        <w:ind w:left="426"/>
        <w:rPr>
          <w:rFonts w:cs="Times New Roman"/>
        </w:rPr>
      </w:pPr>
      <w:r w:rsidRPr="00E8362A">
        <w:rPr>
          <w:b/>
        </w:rPr>
        <w:t>Support the establishment of</w:t>
      </w:r>
      <w:r>
        <w:rPr>
          <w:b/>
        </w:rPr>
        <w:t xml:space="preserve"> gardens, composters and </w:t>
      </w:r>
      <w:r w:rsidR="00941947">
        <w:rPr>
          <w:b/>
        </w:rPr>
        <w:t>food skills</w:t>
      </w:r>
      <w:r w:rsidRPr="00E8362A">
        <w:rPr>
          <w:b/>
        </w:rPr>
        <w:t xml:space="preserve"> programs in schools</w:t>
      </w:r>
      <w:r w:rsidR="00941947">
        <w:rPr>
          <w:b/>
        </w:rPr>
        <w:t xml:space="preserve"> as complimentary experiential programs that support and reinforce in-class food literacy education</w:t>
      </w:r>
      <w:r>
        <w:rPr>
          <w:rStyle w:val="EndnoteReference"/>
          <w:rFonts w:cs="Times New Roman"/>
        </w:rPr>
        <w:endnoteReference w:id="13"/>
      </w:r>
    </w:p>
    <w:p w14:paraId="23754FC2" w14:textId="1B6C9D09" w:rsidR="00B7387D" w:rsidRDefault="00B7387D" w:rsidP="00E8362A">
      <w:pPr>
        <w:pStyle w:val="ListParagraph"/>
        <w:numPr>
          <w:ilvl w:val="0"/>
          <w:numId w:val="7"/>
        </w:numPr>
        <w:spacing w:before="120"/>
        <w:ind w:left="850" w:hanging="357"/>
        <w:contextualSpacing w:val="0"/>
        <w:rPr>
          <w:rFonts w:cs="Times New Roman"/>
        </w:rPr>
      </w:pPr>
      <w:r>
        <w:t xml:space="preserve">Build all new elementary and secondary schools with </w:t>
      </w:r>
      <w:r w:rsidR="00E43BD2">
        <w:t>food skills infrastructure</w:t>
      </w:r>
      <w:r>
        <w:t xml:space="preserve">, </w:t>
      </w:r>
      <w:r w:rsidR="00E43BD2">
        <w:t xml:space="preserve">a full-service </w:t>
      </w:r>
      <w:r>
        <w:t>cafeteria, and a food garden</w:t>
      </w:r>
      <w:r w:rsidR="007B2676">
        <w:t>.</w:t>
      </w:r>
      <w:r>
        <w:rPr>
          <w:rStyle w:val="EndnoteReference"/>
          <w:rFonts w:cs="Times New Roman"/>
        </w:rPr>
        <w:endnoteReference w:id="14"/>
      </w:r>
    </w:p>
    <w:p w14:paraId="66819845" w14:textId="30D1161F" w:rsidR="00B7387D" w:rsidRDefault="00B7387D" w:rsidP="00E8362A">
      <w:pPr>
        <w:pStyle w:val="ListParagraph"/>
        <w:numPr>
          <w:ilvl w:val="0"/>
          <w:numId w:val="7"/>
        </w:numPr>
        <w:spacing w:before="120"/>
        <w:ind w:left="850" w:hanging="357"/>
        <w:contextualSpacing w:val="0"/>
      </w:pPr>
      <w:r>
        <w:t xml:space="preserve">Provide resources </w:t>
      </w:r>
      <w:r w:rsidR="000B52EB">
        <w:t xml:space="preserve">and enact supportive policies </w:t>
      </w:r>
      <w:r>
        <w:t xml:space="preserve">to </w:t>
      </w:r>
      <w:r w:rsidR="000B52EB">
        <w:t xml:space="preserve">enable </w:t>
      </w:r>
      <w:r>
        <w:t xml:space="preserve">existing schools </w:t>
      </w:r>
      <w:r w:rsidR="000B52EB">
        <w:t>to</w:t>
      </w:r>
      <w:r>
        <w:t xml:space="preserve"> build and maintain gardens, </w:t>
      </w:r>
      <w:r w:rsidR="007B2676">
        <w:t xml:space="preserve">greenhouses, </w:t>
      </w:r>
      <w:r w:rsidR="000B52EB">
        <w:t xml:space="preserve">food skills programs, </w:t>
      </w:r>
      <w:r>
        <w:t>and cafeterias</w:t>
      </w:r>
      <w:r w:rsidR="007B2676">
        <w:t>.</w:t>
      </w:r>
    </w:p>
    <w:p w14:paraId="78CD8EBF" w14:textId="77777777" w:rsidR="003662BE" w:rsidRPr="003662BE" w:rsidRDefault="00941947" w:rsidP="005C6351">
      <w:pPr>
        <w:pStyle w:val="ListParagraph"/>
        <w:numPr>
          <w:ilvl w:val="0"/>
          <w:numId w:val="7"/>
        </w:numPr>
        <w:spacing w:before="120"/>
        <w:ind w:left="850" w:hanging="357"/>
        <w:contextualSpacing w:val="0"/>
        <w:rPr>
          <w:rFonts w:cs="Times New Roman"/>
        </w:rPr>
      </w:pPr>
      <w:r>
        <w:t>Ensure</w:t>
      </w:r>
      <w:r w:rsidR="003662BE">
        <w:t xml:space="preserve"> </w:t>
      </w:r>
      <w:r w:rsidR="003662BE" w:rsidRPr="003662BE">
        <w:rPr>
          <w:rFonts w:cs="Times New Roman"/>
        </w:rPr>
        <w:t>hand</w:t>
      </w:r>
      <w:r w:rsidR="003662BE">
        <w:rPr>
          <w:rFonts w:cs="Times New Roman"/>
        </w:rPr>
        <w:t xml:space="preserve">s-on food skills </w:t>
      </w:r>
      <w:r w:rsidR="005C6351">
        <w:rPr>
          <w:rFonts w:cs="Times New Roman"/>
        </w:rPr>
        <w:t>education in</w:t>
      </w:r>
      <w:r w:rsidR="003662BE" w:rsidRPr="003662BE">
        <w:rPr>
          <w:rFonts w:cs="Times New Roman"/>
        </w:rPr>
        <w:t xml:space="preserve"> school</w:t>
      </w:r>
      <w:r w:rsidR="005C6351">
        <w:rPr>
          <w:rFonts w:cs="Times New Roman"/>
        </w:rPr>
        <w:t>s</w:t>
      </w:r>
      <w:r w:rsidR="003662BE" w:rsidRPr="003662BE">
        <w:rPr>
          <w:rFonts w:cs="Times New Roman"/>
        </w:rPr>
        <w:t>.</w:t>
      </w:r>
    </w:p>
    <w:p w14:paraId="269736F3" w14:textId="77777777" w:rsidR="007B2676" w:rsidRPr="003662BE" w:rsidRDefault="007B2676" w:rsidP="007B2676">
      <w:pPr>
        <w:pStyle w:val="ListParagraph"/>
        <w:numPr>
          <w:ilvl w:val="0"/>
          <w:numId w:val="7"/>
        </w:numPr>
        <w:spacing w:before="120"/>
        <w:ind w:left="850" w:hanging="357"/>
        <w:contextualSpacing w:val="0"/>
        <w:rPr>
          <w:rFonts w:cs="Times New Roman"/>
        </w:rPr>
      </w:pPr>
      <w:r w:rsidRPr="00B2363D">
        <w:t>Identify opportunities for resource sharing between schools and community agencies</w:t>
      </w:r>
      <w:r>
        <w:t>, such as garden educators and rotating food skills educators.</w:t>
      </w:r>
    </w:p>
    <w:p w14:paraId="00EA2D20" w14:textId="77777777" w:rsidR="00CA0B9C" w:rsidRPr="00CA0B9C" w:rsidRDefault="00CA0B9C" w:rsidP="00CA0B9C">
      <w:pPr>
        <w:pStyle w:val="ListParagraph"/>
        <w:spacing w:before="120"/>
        <w:ind w:left="850"/>
        <w:contextualSpacing w:val="0"/>
        <w:rPr>
          <w:rFonts w:cs="Times New Roman"/>
        </w:rPr>
      </w:pPr>
    </w:p>
    <w:p w14:paraId="32D1E24B" w14:textId="77777777" w:rsidR="00F936CB" w:rsidRPr="00CA0B9C" w:rsidRDefault="00F936CB" w:rsidP="00F936CB">
      <w:pPr>
        <w:pStyle w:val="ListParagraph"/>
        <w:numPr>
          <w:ilvl w:val="0"/>
          <w:numId w:val="12"/>
        </w:numPr>
        <w:ind w:left="426"/>
        <w:rPr>
          <w:b/>
        </w:rPr>
      </w:pPr>
      <w:r w:rsidRPr="00CA0B9C">
        <w:rPr>
          <w:b/>
        </w:rPr>
        <w:t>Develop local procurement policies for schools</w:t>
      </w:r>
    </w:p>
    <w:p w14:paraId="38E31D88" w14:textId="77777777" w:rsidR="00F936CB" w:rsidRDefault="00F936CB" w:rsidP="00F936CB">
      <w:pPr>
        <w:pStyle w:val="ListParagraph"/>
        <w:numPr>
          <w:ilvl w:val="0"/>
          <w:numId w:val="5"/>
        </w:numPr>
        <w:spacing w:before="120"/>
        <w:ind w:left="850" w:hanging="357"/>
        <w:contextualSpacing w:val="0"/>
      </w:pPr>
      <w:r>
        <w:t xml:space="preserve">Develop local food procurement </w:t>
      </w:r>
      <w:r w:rsidR="00FB5C42">
        <w:t xml:space="preserve">policies and </w:t>
      </w:r>
      <w:r>
        <w:t xml:space="preserve">targets for schools and </w:t>
      </w:r>
      <w:r w:rsidR="00FB5C42">
        <w:t xml:space="preserve">support schools to </w:t>
      </w:r>
      <w:r>
        <w:t>build these requirements into contracts with food suppliers.</w:t>
      </w:r>
    </w:p>
    <w:p w14:paraId="7BF0B7EB" w14:textId="77777777" w:rsidR="00492E05" w:rsidRPr="00B57858" w:rsidRDefault="00F936CB" w:rsidP="00FB5C42">
      <w:pPr>
        <w:pStyle w:val="ListParagraph"/>
        <w:numPr>
          <w:ilvl w:val="0"/>
          <w:numId w:val="5"/>
        </w:numPr>
        <w:spacing w:before="120"/>
        <w:ind w:left="850" w:hanging="357"/>
        <w:contextualSpacing w:val="0"/>
        <w:rPr>
          <w:rFonts w:cs="Times New Roman"/>
        </w:rPr>
      </w:pPr>
      <w:r>
        <w:t>Provide incentives</w:t>
      </w:r>
      <w:r w:rsidR="00FB5C42">
        <w:t xml:space="preserve">, </w:t>
      </w:r>
      <w:r>
        <w:t>training</w:t>
      </w:r>
      <w:r w:rsidR="00FB5C42">
        <w:t>, funding and other support</w:t>
      </w:r>
      <w:r>
        <w:t xml:space="preserve"> to enable schools to meet the procurement targets.</w:t>
      </w:r>
    </w:p>
    <w:p w14:paraId="5CCC9BDE" w14:textId="77777777" w:rsidR="00B57858" w:rsidRPr="00FB5C42" w:rsidRDefault="00B57858" w:rsidP="00FB5C42">
      <w:pPr>
        <w:pStyle w:val="ListParagraph"/>
        <w:numPr>
          <w:ilvl w:val="0"/>
          <w:numId w:val="5"/>
        </w:numPr>
        <w:spacing w:before="120"/>
        <w:ind w:left="850" w:hanging="357"/>
        <w:contextualSpacing w:val="0"/>
        <w:rPr>
          <w:rFonts w:cs="Times New Roman"/>
        </w:rPr>
      </w:pPr>
      <w:r>
        <w:rPr>
          <w:rFonts w:eastAsia="Times New Roman"/>
        </w:rPr>
        <w:t xml:space="preserve">Support collaboration with public health units to provide </w:t>
      </w:r>
      <w:r w:rsidR="005C6351">
        <w:rPr>
          <w:rFonts w:eastAsia="Times New Roman"/>
        </w:rPr>
        <w:t xml:space="preserve">both </w:t>
      </w:r>
      <w:r>
        <w:rPr>
          <w:rFonts w:eastAsia="Times New Roman"/>
        </w:rPr>
        <w:t xml:space="preserve">health </w:t>
      </w:r>
      <w:r w:rsidR="005C6351">
        <w:rPr>
          <w:rFonts w:eastAsia="Times New Roman"/>
        </w:rPr>
        <w:t xml:space="preserve">protection and health </w:t>
      </w:r>
      <w:r>
        <w:rPr>
          <w:rFonts w:eastAsia="Times New Roman"/>
        </w:rPr>
        <w:t>promotion training related to local food procurement.</w:t>
      </w:r>
    </w:p>
    <w:p w14:paraId="30848A43" w14:textId="77777777" w:rsidR="00F936CB" w:rsidRDefault="00F936CB" w:rsidP="00F936CB">
      <w:pPr>
        <w:rPr>
          <w:rFonts w:cs="Times New Roman"/>
        </w:rPr>
      </w:pPr>
    </w:p>
    <w:p w14:paraId="67B8F46B" w14:textId="77777777" w:rsidR="00F936CB" w:rsidRPr="00CA0B9C" w:rsidRDefault="00F936CB" w:rsidP="00F936CB">
      <w:pPr>
        <w:pStyle w:val="ListParagraph"/>
        <w:numPr>
          <w:ilvl w:val="0"/>
          <w:numId w:val="12"/>
        </w:numPr>
        <w:ind w:left="426"/>
        <w:rPr>
          <w:b/>
        </w:rPr>
      </w:pPr>
      <w:r w:rsidRPr="00CA0B9C">
        <w:rPr>
          <w:b/>
        </w:rPr>
        <w:t xml:space="preserve">Ensure </w:t>
      </w:r>
      <w:r w:rsidR="007B78D6">
        <w:rPr>
          <w:b/>
        </w:rPr>
        <w:t xml:space="preserve">that </w:t>
      </w:r>
      <w:r w:rsidR="00941947">
        <w:rPr>
          <w:b/>
        </w:rPr>
        <w:t xml:space="preserve">all </w:t>
      </w:r>
      <w:r w:rsidR="007B78D6">
        <w:rPr>
          <w:b/>
        </w:rPr>
        <w:t xml:space="preserve">children and youth have </w:t>
      </w:r>
      <w:r w:rsidRPr="00CA0B9C">
        <w:rPr>
          <w:b/>
        </w:rPr>
        <w:t xml:space="preserve">access to </w:t>
      </w:r>
      <w:r w:rsidR="007B78D6">
        <w:rPr>
          <w:b/>
        </w:rPr>
        <w:t xml:space="preserve">healthy and </w:t>
      </w:r>
      <w:r w:rsidRPr="00CA0B9C">
        <w:rPr>
          <w:b/>
        </w:rPr>
        <w:t>nutriti</w:t>
      </w:r>
      <w:r w:rsidR="007B78D6">
        <w:rPr>
          <w:b/>
        </w:rPr>
        <w:t>ous food</w:t>
      </w:r>
      <w:r w:rsidRPr="00CA0B9C">
        <w:rPr>
          <w:b/>
        </w:rPr>
        <w:t xml:space="preserve"> in schools</w:t>
      </w:r>
    </w:p>
    <w:p w14:paraId="3D85A309" w14:textId="77777777" w:rsidR="00F936CB" w:rsidRDefault="00F936CB" w:rsidP="007B78D6">
      <w:pPr>
        <w:pStyle w:val="ListParagraph"/>
        <w:numPr>
          <w:ilvl w:val="0"/>
          <w:numId w:val="7"/>
        </w:numPr>
        <w:spacing w:before="120"/>
        <w:ind w:left="850" w:hanging="357"/>
        <w:contextualSpacing w:val="0"/>
      </w:pPr>
      <w:r>
        <w:t xml:space="preserve">Ensure that all Ontario schools run a Student Nutrition Program that is accessible to </w:t>
      </w:r>
      <w:r w:rsidR="00941947">
        <w:t>every</w:t>
      </w:r>
      <w:r>
        <w:t xml:space="preserve"> child and youth every </w:t>
      </w:r>
      <w:r w:rsidR="00941947">
        <w:t xml:space="preserve">school </w:t>
      </w:r>
      <w:r>
        <w:t>day.</w:t>
      </w:r>
    </w:p>
    <w:p w14:paraId="4ACC54E7" w14:textId="77777777" w:rsidR="00F936CB" w:rsidRDefault="00882537" w:rsidP="00F936CB">
      <w:pPr>
        <w:pStyle w:val="ListParagraph"/>
        <w:numPr>
          <w:ilvl w:val="0"/>
          <w:numId w:val="7"/>
        </w:numPr>
        <w:spacing w:before="120"/>
        <w:ind w:left="850" w:hanging="357"/>
        <w:contextualSpacing w:val="0"/>
      </w:pPr>
      <w:r>
        <w:t xml:space="preserve">Advocate for </w:t>
      </w:r>
      <w:r w:rsidR="00F936CB">
        <w:t xml:space="preserve">the federal government </w:t>
      </w:r>
      <w:r>
        <w:t>to provide greater support for S</w:t>
      </w:r>
      <w:r w:rsidR="00F936CB">
        <w:t xml:space="preserve">tudent </w:t>
      </w:r>
      <w:r>
        <w:t>N</w:t>
      </w:r>
      <w:r w:rsidR="00F936CB">
        <w:t>utrit</w:t>
      </w:r>
      <w:r>
        <w:t>ion Programs in First Nations communities.</w:t>
      </w:r>
    </w:p>
    <w:p w14:paraId="1BE20A72" w14:textId="77777777" w:rsidR="00882537" w:rsidRDefault="00882537" w:rsidP="00F936CB">
      <w:pPr>
        <w:pStyle w:val="ListParagraph"/>
        <w:numPr>
          <w:ilvl w:val="0"/>
          <w:numId w:val="7"/>
        </w:numPr>
        <w:spacing w:before="120"/>
        <w:ind w:left="850" w:hanging="357"/>
        <w:contextualSpacing w:val="0"/>
      </w:pPr>
      <w:r>
        <w:t>Advocate for the federal government to play a cost sharing role in supporting provincial Student Nutrition Programs that serve all children and youth.</w:t>
      </w:r>
    </w:p>
    <w:p w14:paraId="49B779CD" w14:textId="77777777" w:rsidR="00F936CB" w:rsidRDefault="00F936CB" w:rsidP="00F936CB">
      <w:pPr>
        <w:spacing w:before="120"/>
        <w:rPr>
          <w:rFonts w:cs="Times New Roman"/>
        </w:rPr>
      </w:pPr>
    </w:p>
    <w:p w14:paraId="7E4BE389" w14:textId="77777777" w:rsidR="00551B1F" w:rsidRDefault="00551B1F">
      <w:pPr>
        <w:rPr>
          <w:rFonts w:cs="Times New Roman"/>
        </w:rPr>
      </w:pPr>
      <w:r>
        <w:rPr>
          <w:rFonts w:cs="Times New Roman"/>
        </w:rPr>
        <w:br w:type="page"/>
      </w:r>
    </w:p>
    <w:p w14:paraId="1EC884C4" w14:textId="19196532" w:rsidR="00F936CB" w:rsidRPr="00F936CB" w:rsidRDefault="00E64AF9" w:rsidP="00F936CB">
      <w:pPr>
        <w:spacing w:before="120"/>
        <w:rPr>
          <w:rFonts w:cs="Times New Roman"/>
        </w:rPr>
      </w:pPr>
      <w:r>
        <w:rPr>
          <w:rFonts w:cs="Times New Roman"/>
        </w:rPr>
        <w:lastRenderedPageBreak/>
        <w:t>There exist a number of a</w:t>
      </w:r>
      <w:r w:rsidR="00F936CB">
        <w:rPr>
          <w:rFonts w:cs="Times New Roman"/>
        </w:rPr>
        <w:t xml:space="preserve">dditional </w:t>
      </w:r>
      <w:r w:rsidR="00882537">
        <w:rPr>
          <w:rFonts w:cs="Times New Roman"/>
        </w:rPr>
        <w:t>s</w:t>
      </w:r>
      <w:r w:rsidR="00F936CB">
        <w:rPr>
          <w:rFonts w:cs="Times New Roman"/>
        </w:rPr>
        <w:t xml:space="preserve">upports </w:t>
      </w:r>
      <w:r w:rsidR="00882537">
        <w:rPr>
          <w:rFonts w:cs="Times New Roman"/>
        </w:rPr>
        <w:t>o</w:t>
      </w:r>
      <w:r w:rsidR="00F936CB">
        <w:rPr>
          <w:rFonts w:cs="Times New Roman"/>
        </w:rPr>
        <w:t xml:space="preserve">utside of </w:t>
      </w:r>
      <w:r w:rsidR="00882537">
        <w:rPr>
          <w:rFonts w:cs="Times New Roman"/>
        </w:rPr>
        <w:t>s</w:t>
      </w:r>
      <w:r w:rsidR="00F936CB">
        <w:rPr>
          <w:rFonts w:cs="Times New Roman"/>
        </w:rPr>
        <w:t>chools</w:t>
      </w:r>
      <w:r w:rsidR="00882537">
        <w:rPr>
          <w:rFonts w:cs="Times New Roman"/>
        </w:rPr>
        <w:t xml:space="preserve"> that would help ensure that children and y</w:t>
      </w:r>
      <w:r w:rsidR="006750CB">
        <w:rPr>
          <w:rFonts w:cs="Times New Roman"/>
        </w:rPr>
        <w:t xml:space="preserve">outh </w:t>
      </w:r>
      <w:r w:rsidR="00882537">
        <w:rPr>
          <w:rFonts w:cs="Times New Roman"/>
        </w:rPr>
        <w:t>can a</w:t>
      </w:r>
      <w:r w:rsidR="006750CB">
        <w:rPr>
          <w:rFonts w:cs="Times New Roman"/>
        </w:rPr>
        <w:t xml:space="preserve">ccess </w:t>
      </w:r>
      <w:r w:rsidR="00882537">
        <w:rPr>
          <w:rFonts w:cs="Times New Roman"/>
        </w:rPr>
        <w:t>enough h</w:t>
      </w:r>
      <w:r w:rsidR="006750CB">
        <w:rPr>
          <w:rFonts w:cs="Times New Roman"/>
        </w:rPr>
        <w:t xml:space="preserve">ealthy </w:t>
      </w:r>
      <w:r w:rsidR="00882537">
        <w:rPr>
          <w:rFonts w:cs="Times New Roman"/>
        </w:rPr>
        <w:t>and culturally appropriate f</w:t>
      </w:r>
      <w:r w:rsidR="006750CB">
        <w:rPr>
          <w:rFonts w:cs="Times New Roman"/>
        </w:rPr>
        <w:t>ood</w:t>
      </w:r>
      <w:r>
        <w:rPr>
          <w:rFonts w:cs="Times New Roman"/>
        </w:rPr>
        <w:t>.  These include:</w:t>
      </w:r>
    </w:p>
    <w:p w14:paraId="0D9A1E23" w14:textId="7CE2199C" w:rsidR="00B7387D" w:rsidRPr="00CA0B9C" w:rsidRDefault="00B7387D" w:rsidP="00CA0B9C">
      <w:pPr>
        <w:pStyle w:val="ListParagraph"/>
        <w:numPr>
          <w:ilvl w:val="0"/>
          <w:numId w:val="12"/>
        </w:numPr>
        <w:spacing w:before="120"/>
        <w:ind w:left="426"/>
        <w:rPr>
          <w:rFonts w:cs="Times New Roman"/>
        </w:rPr>
      </w:pPr>
      <w:r w:rsidRPr="00CA0B9C">
        <w:rPr>
          <w:b/>
        </w:rPr>
        <w:t xml:space="preserve">Support </w:t>
      </w:r>
      <w:r w:rsidR="00287FB4">
        <w:rPr>
          <w:b/>
        </w:rPr>
        <w:t xml:space="preserve">public health and community-based programs </w:t>
      </w:r>
      <w:r w:rsidRPr="00CA0B9C">
        <w:rPr>
          <w:b/>
        </w:rPr>
        <w:t>outside of the classroom t</w:t>
      </w:r>
      <w:r w:rsidR="00E64AF9">
        <w:rPr>
          <w:b/>
        </w:rPr>
        <w:t>hat</w:t>
      </w:r>
      <w:r w:rsidRPr="00CA0B9C">
        <w:rPr>
          <w:b/>
        </w:rPr>
        <w:t xml:space="preserve"> educate children and youth about </w:t>
      </w:r>
      <w:r w:rsidR="00287FB4">
        <w:rPr>
          <w:b/>
        </w:rPr>
        <w:t>healthy eating and</w:t>
      </w:r>
      <w:r w:rsidR="00E64AF9">
        <w:rPr>
          <w:b/>
        </w:rPr>
        <w:t xml:space="preserve"> teach</w:t>
      </w:r>
      <w:r w:rsidR="00287FB4">
        <w:rPr>
          <w:b/>
        </w:rPr>
        <w:t xml:space="preserve"> food literacy</w:t>
      </w:r>
      <w:r>
        <w:rPr>
          <w:rStyle w:val="EndnoteReference"/>
          <w:rFonts w:cs="Times New Roman"/>
        </w:rPr>
        <w:endnoteReference w:id="15"/>
      </w:r>
    </w:p>
    <w:p w14:paraId="6C82CA67" w14:textId="77777777" w:rsidR="00B7387D" w:rsidRDefault="00287FB4" w:rsidP="00CA0B9C">
      <w:pPr>
        <w:pStyle w:val="ListParagraph"/>
        <w:numPr>
          <w:ilvl w:val="0"/>
          <w:numId w:val="7"/>
        </w:numPr>
        <w:spacing w:before="120"/>
        <w:ind w:left="851" w:hanging="357"/>
        <w:contextualSpacing w:val="0"/>
      </w:pPr>
      <w:r>
        <w:t>Support programs</w:t>
      </w:r>
      <w:r w:rsidR="00B7387D" w:rsidRPr="00E02FA7">
        <w:t xml:space="preserve"> where food skills</w:t>
      </w:r>
      <w:r w:rsidR="00B7387D">
        <w:t xml:space="preserve"> and food literacy</w:t>
      </w:r>
      <w:r>
        <w:t>,</w:t>
      </w:r>
      <w:r w:rsidR="00B7387D" w:rsidRPr="00E02FA7">
        <w:t xml:space="preserve"> </w:t>
      </w:r>
      <w:r>
        <w:t xml:space="preserve">including planning, shopping, cooking, preparation, preservation, food storage and food safety, </w:t>
      </w:r>
      <w:r w:rsidR="00B7387D" w:rsidRPr="00E02FA7">
        <w:t>are taught as part of extra-curricular activities</w:t>
      </w:r>
      <w:r w:rsidR="00B7387D">
        <w:t>.</w:t>
      </w:r>
    </w:p>
    <w:p w14:paraId="709BB944" w14:textId="77777777" w:rsidR="00D27925" w:rsidRDefault="00D27925" w:rsidP="00CA0B9C">
      <w:pPr>
        <w:pStyle w:val="ListParagraph"/>
        <w:numPr>
          <w:ilvl w:val="0"/>
          <w:numId w:val="7"/>
        </w:numPr>
        <w:spacing w:before="120"/>
        <w:ind w:left="851" w:hanging="357"/>
        <w:contextualSpacing w:val="0"/>
      </w:pPr>
      <w:r w:rsidRPr="00D27925">
        <w:t>Support community food access solutions that promote the availability and affordability of fresh, locally or regionally grown foods and create opportunities to scale these up throughout the province (e.g. fresh vegetable and fruit boxes and community gardens).</w:t>
      </w:r>
    </w:p>
    <w:p w14:paraId="211F5C9E" w14:textId="77777777" w:rsidR="00B7387D" w:rsidRDefault="00B7387D" w:rsidP="00CA0B9C">
      <w:pPr>
        <w:pStyle w:val="ListParagraph"/>
        <w:numPr>
          <w:ilvl w:val="0"/>
          <w:numId w:val="7"/>
        </w:numPr>
        <w:spacing w:before="120"/>
        <w:ind w:left="851" w:hanging="357"/>
        <w:contextualSpacing w:val="0"/>
      </w:pPr>
      <w:r>
        <w:t>Prioritize food focused jobs in existing youth summer employment initiatives</w:t>
      </w:r>
    </w:p>
    <w:p w14:paraId="4B30D710" w14:textId="77777777" w:rsidR="00B7387D" w:rsidRDefault="00B7387D" w:rsidP="00CA0B9C">
      <w:pPr>
        <w:pStyle w:val="ListParagraph"/>
        <w:numPr>
          <w:ilvl w:val="0"/>
          <w:numId w:val="7"/>
        </w:numPr>
        <w:spacing w:before="120"/>
        <w:ind w:left="851" w:hanging="357"/>
        <w:contextualSpacing w:val="0"/>
      </w:pPr>
      <w:r>
        <w:t xml:space="preserve">Support programs that enable children and youth to visit farms and community food initiatives. </w:t>
      </w:r>
    </w:p>
    <w:p w14:paraId="2BB76D76" w14:textId="77777777" w:rsidR="00CA0B9C" w:rsidRDefault="00CA0B9C" w:rsidP="00F4203C">
      <w:pPr>
        <w:rPr>
          <w:rFonts w:cs="Times New Roman"/>
        </w:rPr>
      </w:pPr>
    </w:p>
    <w:p w14:paraId="36EF09E1" w14:textId="77777777" w:rsidR="00B7387D" w:rsidRPr="006D03FE" w:rsidRDefault="00B7387D" w:rsidP="006D03FE">
      <w:pPr>
        <w:pStyle w:val="ListParagraph"/>
        <w:numPr>
          <w:ilvl w:val="0"/>
          <w:numId w:val="12"/>
        </w:numPr>
        <w:ind w:left="426"/>
        <w:rPr>
          <w:b/>
        </w:rPr>
      </w:pPr>
      <w:r w:rsidRPr="006D03FE">
        <w:rPr>
          <w:b/>
        </w:rPr>
        <w:t xml:space="preserve">Reduce child and youth exposure to </w:t>
      </w:r>
      <w:r w:rsidR="00E43BD2">
        <w:rPr>
          <w:b/>
        </w:rPr>
        <w:t>marketing of</w:t>
      </w:r>
      <w:r w:rsidRPr="006D03FE">
        <w:rPr>
          <w:b/>
        </w:rPr>
        <w:t xml:space="preserve"> foods and beverages</w:t>
      </w:r>
    </w:p>
    <w:p w14:paraId="0B5AD78E" w14:textId="77777777" w:rsidR="00F339AA" w:rsidRPr="006750CB" w:rsidRDefault="00B7387D" w:rsidP="00F339AA">
      <w:pPr>
        <w:pStyle w:val="ListParagraph"/>
        <w:numPr>
          <w:ilvl w:val="0"/>
          <w:numId w:val="6"/>
        </w:numPr>
        <w:spacing w:before="120"/>
        <w:ind w:left="850" w:hanging="357"/>
        <w:contextualSpacing w:val="0"/>
        <w:rPr>
          <w:rFonts w:cs="Times New Roman"/>
        </w:rPr>
      </w:pPr>
      <w:r>
        <w:t>Create a policy framework to protect children and youth from targeted advertising of food and beverages</w:t>
      </w:r>
      <w:r>
        <w:rPr>
          <w:rStyle w:val="EndnoteReference"/>
          <w:rFonts w:cs="Times New Roman"/>
        </w:rPr>
        <w:endnoteReference w:id="16"/>
      </w:r>
      <w:r w:rsidRPr="00FE4C1A">
        <w:rPr>
          <w:vertAlign w:val="superscript"/>
        </w:rPr>
        <w:t>,</w:t>
      </w:r>
      <w:r>
        <w:t xml:space="preserve"> </w:t>
      </w:r>
      <w:r>
        <w:rPr>
          <w:rStyle w:val="EndnoteReference"/>
          <w:rFonts w:cs="Times New Roman"/>
        </w:rPr>
        <w:endnoteReference w:id="17"/>
      </w:r>
    </w:p>
    <w:p w14:paraId="370C1BC2" w14:textId="77777777" w:rsidR="006750CB" w:rsidRDefault="006750CB" w:rsidP="00882537">
      <w:pPr>
        <w:spacing w:before="120"/>
        <w:rPr>
          <w:rFonts w:cs="Times New Roman"/>
        </w:rPr>
      </w:pPr>
    </w:p>
    <w:p w14:paraId="6691ABA7" w14:textId="77777777" w:rsidR="006750CB" w:rsidRPr="006D03FE" w:rsidRDefault="006750CB" w:rsidP="006750CB">
      <w:pPr>
        <w:pStyle w:val="ListParagraph"/>
        <w:numPr>
          <w:ilvl w:val="0"/>
          <w:numId w:val="12"/>
        </w:numPr>
        <w:ind w:left="426"/>
        <w:rPr>
          <w:b/>
        </w:rPr>
      </w:pPr>
      <w:r>
        <w:rPr>
          <w:b/>
        </w:rPr>
        <w:t>Support additional mechanisms to ensure food</w:t>
      </w:r>
      <w:r w:rsidR="00492E05">
        <w:rPr>
          <w:b/>
        </w:rPr>
        <w:t xml:space="preserve"> security for all families in On</w:t>
      </w:r>
      <w:r>
        <w:rPr>
          <w:b/>
        </w:rPr>
        <w:t>tario</w:t>
      </w:r>
    </w:p>
    <w:p w14:paraId="7D731F20" w14:textId="77777777" w:rsidR="006750CB" w:rsidRPr="00882537" w:rsidRDefault="006750CB" w:rsidP="00882537">
      <w:pPr>
        <w:pStyle w:val="ListParagraph"/>
        <w:numPr>
          <w:ilvl w:val="0"/>
          <w:numId w:val="6"/>
        </w:numPr>
        <w:spacing w:before="120"/>
        <w:ind w:left="850" w:hanging="357"/>
        <w:contextualSpacing w:val="0"/>
        <w:rPr>
          <w:rFonts w:asciiTheme="majorHAnsi" w:hAnsiTheme="majorHAnsi" w:cstheme="majorHAnsi"/>
        </w:rPr>
      </w:pPr>
      <w:r w:rsidRPr="00882537">
        <w:rPr>
          <w:rFonts w:asciiTheme="majorHAnsi" w:hAnsiTheme="majorHAnsi" w:cstheme="majorHAnsi"/>
        </w:rPr>
        <w:t>Put in place additional measures to ensure that families have access to fresh and healthy food regardless of their socioeconomic status.</w:t>
      </w:r>
      <w:r w:rsidR="00C2378F" w:rsidRPr="00882537">
        <w:rPr>
          <w:rFonts w:asciiTheme="majorHAnsi" w:hAnsiTheme="majorHAnsi" w:cstheme="majorHAnsi"/>
        </w:rPr>
        <w:t xml:space="preserve"> </w:t>
      </w:r>
      <w:r w:rsidR="00882537" w:rsidRPr="00882537">
        <w:rPr>
          <w:rFonts w:asciiTheme="majorHAnsi" w:hAnsiTheme="majorHAnsi" w:cstheme="majorHAnsi"/>
        </w:rPr>
        <w:t>These may include supportive policies to improve individual and household income, as well as using the cost of the Nutritious Food Basket in determining the rates for social assistance and the minimum wage and in the formation of ODSP/Social Diet Allowance payouts.</w:t>
      </w:r>
    </w:p>
    <w:p w14:paraId="447DF953" w14:textId="77777777" w:rsidR="006750CB" w:rsidRDefault="006750CB" w:rsidP="006750CB">
      <w:pPr>
        <w:spacing w:before="120"/>
        <w:rPr>
          <w:rFonts w:cs="Times New Roman"/>
        </w:rPr>
      </w:pPr>
    </w:p>
    <w:p w14:paraId="2FD2B1CE" w14:textId="77777777" w:rsidR="006750CB" w:rsidRDefault="00882537" w:rsidP="006750CB">
      <w:pPr>
        <w:spacing w:before="120"/>
        <w:rPr>
          <w:rFonts w:cs="Times New Roman"/>
        </w:rPr>
      </w:pPr>
      <w:r>
        <w:rPr>
          <w:b/>
          <w:bCs/>
          <w:u w:val="single"/>
        </w:rPr>
        <w:t xml:space="preserve">Immediate </w:t>
      </w:r>
      <w:r w:rsidR="006750CB">
        <w:rPr>
          <w:b/>
          <w:bCs/>
          <w:u w:val="single"/>
        </w:rPr>
        <w:t>Mechanisms for Policy Makers to Implement these Recommendations:</w:t>
      </w:r>
    </w:p>
    <w:p w14:paraId="40FBFEB5" w14:textId="7046EB26" w:rsidR="006750CB" w:rsidRDefault="00C2378F" w:rsidP="006750CB">
      <w:pPr>
        <w:spacing w:before="120"/>
        <w:rPr>
          <w:rFonts w:cs="Times New Roman"/>
        </w:rPr>
      </w:pPr>
      <w:r>
        <w:rPr>
          <w:rFonts w:cs="Times New Roman"/>
        </w:rPr>
        <w:t xml:space="preserve">Develop </w:t>
      </w:r>
      <w:r w:rsidR="00680823">
        <w:rPr>
          <w:rFonts w:cs="Times New Roman"/>
        </w:rPr>
        <w:t>b</w:t>
      </w:r>
      <w:r w:rsidR="00FB44AB">
        <w:rPr>
          <w:rFonts w:cs="Times New Roman"/>
        </w:rPr>
        <w:t>road</w:t>
      </w:r>
      <w:r w:rsidR="00680823">
        <w:rPr>
          <w:rFonts w:cs="Times New Roman"/>
        </w:rPr>
        <w:t xml:space="preserve"> strategies and f</w:t>
      </w:r>
      <w:r>
        <w:rPr>
          <w:rFonts w:cs="Times New Roman"/>
        </w:rPr>
        <w:t>rameworks</w:t>
      </w:r>
      <w:r w:rsidR="00FB44AB">
        <w:rPr>
          <w:rFonts w:cs="Times New Roman"/>
        </w:rPr>
        <w:t>:</w:t>
      </w:r>
    </w:p>
    <w:p w14:paraId="1E673B8D" w14:textId="1CD19ED7" w:rsidR="00FB44AB" w:rsidRDefault="00FB44AB" w:rsidP="00FB44AB">
      <w:pPr>
        <w:numPr>
          <w:ilvl w:val="0"/>
          <w:numId w:val="14"/>
        </w:numPr>
        <w:spacing w:before="120"/>
        <w:rPr>
          <w:rFonts w:cs="Times New Roman"/>
        </w:rPr>
      </w:pPr>
      <w:r w:rsidRPr="00FB44AB">
        <w:rPr>
          <w:rFonts w:cs="Times New Roman"/>
        </w:rPr>
        <w:t>Support the implementation of an Ontario Food and Nutrition Strategy</w:t>
      </w:r>
      <w:r w:rsidR="0023084B">
        <w:rPr>
          <w:rStyle w:val="EndnoteReference"/>
          <w:rFonts w:cs="Times New Roman"/>
        </w:rPr>
        <w:endnoteReference w:id="18"/>
      </w:r>
      <w:r w:rsidRPr="00FB44AB">
        <w:rPr>
          <w:rFonts w:cs="Times New Roman"/>
        </w:rPr>
        <w:t xml:space="preserve"> to ensure an integrated and complimentary approach to reducing hunger, supporting healthy eating, reducing chronic disease and health-related illnesses, and addressing other aspects of our food system. </w:t>
      </w:r>
    </w:p>
    <w:p w14:paraId="796442DF" w14:textId="77777777" w:rsidR="00BF675E" w:rsidRPr="00BF675E" w:rsidRDefault="00BF675E" w:rsidP="00BF675E">
      <w:pPr>
        <w:pStyle w:val="ListParagraph"/>
        <w:numPr>
          <w:ilvl w:val="0"/>
          <w:numId w:val="14"/>
        </w:numPr>
        <w:spacing w:before="120"/>
        <w:rPr>
          <w:rFonts w:cs="Times New Roman"/>
        </w:rPr>
      </w:pPr>
      <w:r>
        <w:rPr>
          <w:rFonts w:cs="Times New Roman"/>
        </w:rPr>
        <w:t xml:space="preserve">Develop </w:t>
      </w:r>
      <w:r w:rsidRPr="00BF675E">
        <w:rPr>
          <w:rFonts w:cs="Times New Roman"/>
        </w:rPr>
        <w:t>a provincial food literacy and student nutrition policy framework</w:t>
      </w:r>
      <w:r>
        <w:rPr>
          <w:rFonts w:cs="Times New Roman"/>
        </w:rPr>
        <w:t>.</w:t>
      </w:r>
      <w:r w:rsidR="00941947">
        <w:rPr>
          <w:rFonts w:cs="Times New Roman"/>
        </w:rPr>
        <w:t xml:space="preserve">  Require that school boards </w:t>
      </w:r>
      <w:r w:rsidR="00941947">
        <w:t>develop a mandatory food literacy and student nutrition policy.  Even better, require the development of a healthy schools policy that integrates healthy eating and food literacy with physical activity, environmental stewardship, and healthy communities.</w:t>
      </w:r>
      <w:r w:rsidR="00053036">
        <w:rPr>
          <w:rStyle w:val="EndnoteReference"/>
        </w:rPr>
        <w:endnoteReference w:id="19"/>
      </w:r>
      <w:r w:rsidR="00941947">
        <w:t xml:space="preserve"> </w:t>
      </w:r>
    </w:p>
    <w:p w14:paraId="700F4EB1" w14:textId="77777777" w:rsidR="006750CB" w:rsidRDefault="008320AF" w:rsidP="006750CB">
      <w:pPr>
        <w:spacing w:before="120"/>
        <w:rPr>
          <w:rFonts w:cs="Times New Roman"/>
        </w:rPr>
      </w:pPr>
      <w:r>
        <w:rPr>
          <w:rFonts w:cs="Times New Roman"/>
        </w:rPr>
        <w:lastRenderedPageBreak/>
        <w:t xml:space="preserve">Through the </w:t>
      </w:r>
      <w:r w:rsidRPr="00695BF0">
        <w:rPr>
          <w:rFonts w:cs="Times New Roman"/>
          <w:i/>
        </w:rPr>
        <w:t>Local Food Act</w:t>
      </w:r>
      <w:r w:rsidR="006750CB">
        <w:rPr>
          <w:rFonts w:cs="Times New Roman"/>
        </w:rPr>
        <w:t>:</w:t>
      </w:r>
    </w:p>
    <w:p w14:paraId="164AD3BD" w14:textId="77777777" w:rsidR="006750CB" w:rsidRDefault="008320AF" w:rsidP="008320AF">
      <w:pPr>
        <w:numPr>
          <w:ilvl w:val="0"/>
          <w:numId w:val="14"/>
        </w:numPr>
        <w:spacing w:before="120"/>
        <w:rPr>
          <w:rFonts w:cs="Times New Roman"/>
        </w:rPr>
      </w:pPr>
      <w:r>
        <w:rPr>
          <w:rFonts w:cs="Times New Roman"/>
        </w:rPr>
        <w:t>C</w:t>
      </w:r>
      <w:r w:rsidRPr="008320AF">
        <w:rPr>
          <w:rFonts w:cs="Times New Roman"/>
        </w:rPr>
        <w:t>ontinue to implement policies that ensure the procurement of local, fresh and sustainable foods into schools, addressing the nutritional needs of children and youth with the additional benefit of supporting Ontario’s economy.</w:t>
      </w:r>
      <w:r>
        <w:rPr>
          <w:rFonts w:cs="Times New Roman"/>
        </w:rPr>
        <w:t xml:space="preserve"> (along with Healthy Kids Strategy)</w:t>
      </w:r>
    </w:p>
    <w:p w14:paraId="4FA9C1D1" w14:textId="77777777" w:rsidR="00BF675E" w:rsidRPr="003715A1" w:rsidRDefault="00587520" w:rsidP="00587520">
      <w:pPr>
        <w:numPr>
          <w:ilvl w:val="0"/>
          <w:numId w:val="14"/>
        </w:numPr>
        <w:spacing w:before="120"/>
        <w:rPr>
          <w:rFonts w:cs="Times New Roman"/>
        </w:rPr>
      </w:pPr>
      <w:r>
        <w:t xml:space="preserve">Embed a requirement for food literacy education in our schools. </w:t>
      </w:r>
    </w:p>
    <w:p w14:paraId="3E7D45B1" w14:textId="77777777" w:rsidR="003715A1" w:rsidRDefault="003715A1" w:rsidP="003715A1">
      <w:pPr>
        <w:pStyle w:val="ListParagraph"/>
        <w:numPr>
          <w:ilvl w:val="0"/>
          <w:numId w:val="14"/>
        </w:numPr>
        <w:spacing w:before="120"/>
        <w:contextualSpacing w:val="0"/>
      </w:pPr>
      <w:r>
        <w:t>Develop local food procurement policies and targets for schools and support schools to build these requirements into contracts with food suppliers.</w:t>
      </w:r>
    </w:p>
    <w:p w14:paraId="66E77E2D" w14:textId="77777777" w:rsidR="003715A1" w:rsidRPr="00B57858" w:rsidRDefault="003715A1" w:rsidP="003715A1">
      <w:pPr>
        <w:pStyle w:val="ListParagraph"/>
        <w:numPr>
          <w:ilvl w:val="0"/>
          <w:numId w:val="14"/>
        </w:numPr>
        <w:spacing w:before="120"/>
        <w:contextualSpacing w:val="0"/>
        <w:rPr>
          <w:rFonts w:cs="Times New Roman"/>
        </w:rPr>
      </w:pPr>
      <w:r>
        <w:t>Provide incentives, training, funding and other support to enable schools to meet the procurement targets.</w:t>
      </w:r>
    </w:p>
    <w:p w14:paraId="59E06D3F" w14:textId="77777777" w:rsidR="003715A1" w:rsidRPr="00587520" w:rsidRDefault="003715A1" w:rsidP="003715A1">
      <w:pPr>
        <w:numPr>
          <w:ilvl w:val="0"/>
          <w:numId w:val="14"/>
        </w:numPr>
        <w:spacing w:before="120"/>
        <w:rPr>
          <w:rFonts w:cs="Times New Roman"/>
        </w:rPr>
      </w:pPr>
      <w:r>
        <w:rPr>
          <w:rFonts w:eastAsia="Times New Roman"/>
        </w:rPr>
        <w:t>Support collaboration with public health units to provide both health protection and health promotion training related to local food procurement.</w:t>
      </w:r>
    </w:p>
    <w:p w14:paraId="11CBEF1E" w14:textId="77777777" w:rsidR="006750CB" w:rsidRDefault="006750CB" w:rsidP="006750CB">
      <w:pPr>
        <w:spacing w:before="120"/>
        <w:rPr>
          <w:rFonts w:cs="Times New Roman"/>
        </w:rPr>
      </w:pPr>
    </w:p>
    <w:p w14:paraId="57A11495" w14:textId="77777777" w:rsidR="006750CB" w:rsidRDefault="006750CB" w:rsidP="006750CB">
      <w:pPr>
        <w:spacing w:before="120"/>
        <w:rPr>
          <w:rFonts w:cs="Times New Roman"/>
        </w:rPr>
      </w:pPr>
      <w:r>
        <w:rPr>
          <w:rFonts w:cs="Times New Roman"/>
        </w:rPr>
        <w:t>As a part of the Education strategy</w:t>
      </w:r>
      <w:r w:rsidR="00BF675E">
        <w:rPr>
          <w:rFonts w:cs="Times New Roman"/>
        </w:rPr>
        <w:t>:</w:t>
      </w:r>
    </w:p>
    <w:p w14:paraId="599F8B4B" w14:textId="77777777" w:rsidR="00C317FC" w:rsidRDefault="00C317FC" w:rsidP="00C317FC">
      <w:pPr>
        <w:pStyle w:val="ListParagraph"/>
        <w:numPr>
          <w:ilvl w:val="0"/>
          <w:numId w:val="14"/>
        </w:numPr>
        <w:spacing w:before="120"/>
        <w:rPr>
          <w:rFonts w:cs="Times New Roman"/>
        </w:rPr>
      </w:pPr>
      <w:r>
        <w:rPr>
          <w:rFonts w:cs="Times New Roman"/>
        </w:rPr>
        <w:t>Ensure that new teachers are taught to make curriculum links to food literacy at all grade levels and that this area is an option for professional development.</w:t>
      </w:r>
    </w:p>
    <w:p w14:paraId="58AF9D0D" w14:textId="77777777" w:rsidR="00BF675E" w:rsidRDefault="00BF675E" w:rsidP="00C317FC">
      <w:pPr>
        <w:pStyle w:val="ListParagraph"/>
        <w:numPr>
          <w:ilvl w:val="0"/>
          <w:numId w:val="14"/>
        </w:numPr>
        <w:spacing w:before="120"/>
        <w:ind w:left="714" w:hanging="357"/>
        <w:contextualSpacing w:val="0"/>
        <w:rPr>
          <w:rFonts w:cs="Times New Roman"/>
        </w:rPr>
      </w:pPr>
      <w:r>
        <w:rPr>
          <w:rFonts w:cs="Times New Roman"/>
        </w:rPr>
        <w:t>F</w:t>
      </w:r>
      <w:r w:rsidRPr="00BF675E">
        <w:rPr>
          <w:rFonts w:cs="Times New Roman"/>
        </w:rPr>
        <w:t>und and support other education and health-based programs, such as school gardens and food skills an</w:t>
      </w:r>
      <w:r w:rsidR="00C317FC">
        <w:rPr>
          <w:rFonts w:cs="Times New Roman"/>
        </w:rPr>
        <w:t>d culinary programs.  Promote curriculum links to these programs and p</w:t>
      </w:r>
      <w:r w:rsidRPr="00BF675E">
        <w:rPr>
          <w:rFonts w:cs="Times New Roman"/>
        </w:rPr>
        <w:t>rovide related teacher training</w:t>
      </w:r>
      <w:r>
        <w:rPr>
          <w:rFonts w:cs="Times New Roman"/>
        </w:rPr>
        <w:t>.</w:t>
      </w:r>
    </w:p>
    <w:p w14:paraId="45BDCCB3" w14:textId="5DDAE580" w:rsidR="00936CBF" w:rsidRPr="00BF675E" w:rsidRDefault="00B9184E" w:rsidP="00936CBF">
      <w:pPr>
        <w:pStyle w:val="ListParagraph"/>
        <w:numPr>
          <w:ilvl w:val="0"/>
          <w:numId w:val="14"/>
        </w:numPr>
        <w:spacing w:before="120"/>
        <w:contextualSpacing w:val="0"/>
        <w:rPr>
          <w:rFonts w:cs="Times New Roman"/>
        </w:rPr>
      </w:pPr>
      <w:r>
        <w:rPr>
          <w:rFonts w:cs="Times New Roman"/>
        </w:rPr>
        <w:t>Establish age-specific</w:t>
      </w:r>
      <w:r w:rsidR="00936CBF">
        <w:rPr>
          <w:rFonts w:cs="Times New Roman"/>
        </w:rPr>
        <w:t xml:space="preserve"> food </w:t>
      </w:r>
      <w:r>
        <w:rPr>
          <w:rFonts w:cs="Times New Roman"/>
        </w:rPr>
        <w:t xml:space="preserve">literacy and food </w:t>
      </w:r>
      <w:r w:rsidR="00936CBF">
        <w:rPr>
          <w:rFonts w:cs="Times New Roman"/>
        </w:rPr>
        <w:t>skills benchmarks and</w:t>
      </w:r>
      <w:r w:rsidR="00936CBF" w:rsidRPr="00936CBF">
        <w:rPr>
          <w:rFonts w:cs="Times New Roman"/>
        </w:rPr>
        <w:t xml:space="preserve"> expectations</w:t>
      </w:r>
      <w:r>
        <w:rPr>
          <w:rFonts w:cs="Times New Roman"/>
        </w:rPr>
        <w:t xml:space="preserve"> along with appropriate evaluation methods. </w:t>
      </w:r>
    </w:p>
    <w:p w14:paraId="6428EFA3" w14:textId="77777777" w:rsidR="00FB44AB" w:rsidRDefault="00FB44AB" w:rsidP="006750CB">
      <w:pPr>
        <w:spacing w:before="120"/>
        <w:rPr>
          <w:rFonts w:cs="Times New Roman"/>
        </w:rPr>
      </w:pPr>
    </w:p>
    <w:p w14:paraId="117E19FB" w14:textId="77777777" w:rsidR="000D21AD" w:rsidRDefault="000D21AD" w:rsidP="006750CB">
      <w:pPr>
        <w:spacing w:before="120"/>
        <w:rPr>
          <w:rFonts w:cs="Times New Roman"/>
        </w:rPr>
      </w:pPr>
      <w:r>
        <w:rPr>
          <w:rFonts w:cs="Times New Roman"/>
        </w:rPr>
        <w:t xml:space="preserve">Through the Healthy Kids Strategy: </w:t>
      </w:r>
    </w:p>
    <w:p w14:paraId="2DB77CE3" w14:textId="77777777" w:rsidR="000D21AD" w:rsidRDefault="000D21AD" w:rsidP="000D21AD">
      <w:pPr>
        <w:pStyle w:val="ListParagraph"/>
        <w:numPr>
          <w:ilvl w:val="0"/>
          <w:numId w:val="14"/>
        </w:numPr>
        <w:spacing w:before="120"/>
        <w:rPr>
          <w:rFonts w:cs="Times New Roman"/>
        </w:rPr>
      </w:pPr>
      <w:r w:rsidRPr="000D21AD">
        <w:rPr>
          <w:rFonts w:cs="Times New Roman"/>
        </w:rPr>
        <w:t>Continue to support Student Nutrition Programs until all Ontario schools have the funds and infrastructure needed to run a Student Nutrition Program that is accessible to every child and youth.</w:t>
      </w:r>
      <w:r>
        <w:rPr>
          <w:rFonts w:cs="Times New Roman"/>
        </w:rPr>
        <w:t xml:space="preserve">  (along with Ontario Poverty Reduction Strategy)</w:t>
      </w:r>
    </w:p>
    <w:p w14:paraId="733EEDF9" w14:textId="77777777" w:rsidR="000D21AD" w:rsidRPr="000D21AD" w:rsidRDefault="000D21AD" w:rsidP="000D21AD">
      <w:pPr>
        <w:pStyle w:val="ListParagraph"/>
        <w:spacing w:before="120"/>
        <w:rPr>
          <w:rFonts w:cs="Times New Roman"/>
        </w:rPr>
      </w:pPr>
    </w:p>
    <w:p w14:paraId="503C5DAC" w14:textId="77777777" w:rsidR="00FB44AB" w:rsidRDefault="00EB3307" w:rsidP="006750CB">
      <w:pPr>
        <w:spacing w:before="120"/>
        <w:rPr>
          <w:rFonts w:cs="Times New Roman"/>
        </w:rPr>
      </w:pPr>
      <w:r>
        <w:rPr>
          <w:rFonts w:cs="Times New Roman"/>
        </w:rPr>
        <w:t>Through the Ontario</w:t>
      </w:r>
      <w:r w:rsidR="00FB44AB">
        <w:rPr>
          <w:rFonts w:cs="Times New Roman"/>
        </w:rPr>
        <w:t xml:space="preserve"> Poverty Reduction Strategy:</w:t>
      </w:r>
    </w:p>
    <w:p w14:paraId="36E25ED6" w14:textId="77777777" w:rsidR="00FB44AB" w:rsidRPr="00FB44AB" w:rsidRDefault="00FB44AB" w:rsidP="00FB44AB">
      <w:pPr>
        <w:numPr>
          <w:ilvl w:val="0"/>
          <w:numId w:val="14"/>
        </w:numPr>
        <w:spacing w:before="120"/>
        <w:rPr>
          <w:rFonts w:cs="Times New Roman"/>
        </w:rPr>
      </w:pPr>
      <w:r w:rsidRPr="00FB44AB">
        <w:rPr>
          <w:rFonts w:cs="Times New Roman"/>
        </w:rPr>
        <w:t>Support policies to improve individual and household income to enable low-income residents to afford healthy food (e.g. adequate minimum wage and social service allotment, affordable housing, affordable childcare, seniors care, public transportation, education and training, and employment).</w:t>
      </w:r>
    </w:p>
    <w:p w14:paraId="255CF8EF" w14:textId="77777777" w:rsidR="00FB44AB" w:rsidRDefault="00FB44AB" w:rsidP="00FB44AB">
      <w:pPr>
        <w:numPr>
          <w:ilvl w:val="0"/>
          <w:numId w:val="14"/>
        </w:numPr>
        <w:spacing w:before="120"/>
        <w:rPr>
          <w:rFonts w:cs="Times New Roman"/>
        </w:rPr>
      </w:pPr>
      <w:r w:rsidRPr="00FB44AB">
        <w:rPr>
          <w:rFonts w:cs="Times New Roman"/>
        </w:rPr>
        <w:t>Ensure access to nutritious food for all Ontarians by using the cost of the Nutritious Food Basket (calculated annually by each Public Health Unit) in determining the rates for social assistance and the minimum wage and in the formation of ODSP/Social Diet Allowance payouts.</w:t>
      </w:r>
    </w:p>
    <w:p w14:paraId="7AC69D58" w14:textId="77777777" w:rsidR="00FB44AB" w:rsidRDefault="00FB44AB" w:rsidP="00FB44AB">
      <w:pPr>
        <w:numPr>
          <w:ilvl w:val="0"/>
          <w:numId w:val="14"/>
        </w:numPr>
        <w:spacing w:before="120"/>
        <w:rPr>
          <w:rFonts w:cs="Times New Roman"/>
        </w:rPr>
      </w:pPr>
      <w:r w:rsidRPr="00FB44AB">
        <w:rPr>
          <w:rFonts w:cs="Times New Roman"/>
        </w:rPr>
        <w:lastRenderedPageBreak/>
        <w:t>Support community food programs (initiatives that help individuals and families not only access healthy food but also learn how to prepare it and make healthy food choices).</w:t>
      </w:r>
    </w:p>
    <w:p w14:paraId="0376E8CE" w14:textId="77777777" w:rsidR="00B7387D" w:rsidRDefault="00B7387D" w:rsidP="00F4203C">
      <w:pPr>
        <w:rPr>
          <w:rFonts w:cs="Times New Roman"/>
        </w:rPr>
      </w:pPr>
    </w:p>
    <w:p w14:paraId="043222C6" w14:textId="77777777" w:rsidR="00181542" w:rsidRDefault="00181542" w:rsidP="00F4203C">
      <w:pPr>
        <w:rPr>
          <w:rFonts w:cs="Times New Roman"/>
        </w:rPr>
      </w:pPr>
    </w:p>
    <w:sectPr w:rsidR="00181542" w:rsidSect="00181542">
      <w:footerReference w:type="default" r:id="rId11"/>
      <w:endnotePr>
        <w:numFmt w:val="decimal"/>
      </w:endnotePr>
      <w:pgSz w:w="12240" w:h="15840"/>
      <w:pgMar w:top="1440" w:right="1440" w:bottom="1418"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0AC23" w14:textId="77777777" w:rsidR="00305D24" w:rsidRDefault="00305D24" w:rsidP="00F4203C">
      <w:pPr>
        <w:rPr>
          <w:rFonts w:cs="Times New Roman"/>
        </w:rPr>
      </w:pPr>
      <w:r>
        <w:rPr>
          <w:rFonts w:cs="Times New Roman"/>
        </w:rPr>
        <w:separator/>
      </w:r>
    </w:p>
  </w:endnote>
  <w:endnote w:type="continuationSeparator" w:id="0">
    <w:p w14:paraId="14141F97" w14:textId="77777777" w:rsidR="00305D24" w:rsidRDefault="00305D24" w:rsidP="00F4203C">
      <w:pPr>
        <w:rPr>
          <w:rFonts w:cs="Times New Roman"/>
        </w:rPr>
      </w:pPr>
      <w:r>
        <w:rPr>
          <w:rFonts w:cs="Times New Roman"/>
        </w:rPr>
        <w:continuationSeparator/>
      </w:r>
    </w:p>
  </w:endnote>
  <w:endnote w:id="1">
    <w:p w14:paraId="1E0B4828" w14:textId="75FB5509" w:rsidR="00E836AE" w:rsidRPr="00E836AE" w:rsidRDefault="00E836AE">
      <w:pPr>
        <w:pStyle w:val="EndnoteText"/>
        <w:rPr>
          <w:lang w:val="en-CA"/>
        </w:rPr>
      </w:pPr>
      <w:r>
        <w:rPr>
          <w:rStyle w:val="EndnoteReference"/>
        </w:rPr>
        <w:endnoteRef/>
      </w:r>
      <w:r>
        <w:t xml:space="preserve"> </w:t>
      </w:r>
      <w:r>
        <w:rPr>
          <w:lang w:val="en-CA"/>
        </w:rPr>
        <w:tab/>
      </w:r>
      <w:r w:rsidRPr="00E836AE">
        <w:t xml:space="preserve">Ontario Ministry of Heath and Long-term Care. 2013. </w:t>
      </w:r>
      <w:r w:rsidRPr="00E836AE">
        <w:rPr>
          <w:i/>
        </w:rPr>
        <w:t>No time to wait: The healthy kids strategy [Ontario].</w:t>
      </w:r>
      <w:r w:rsidRPr="00E836AE">
        <w:t xml:space="preserve"> Toronto, Canada. Available online: </w:t>
      </w:r>
      <w:hyperlink r:id="rId1" w:history="1">
        <w:r w:rsidR="00083A1C" w:rsidRPr="005941B8">
          <w:rPr>
            <w:rStyle w:val="Hyperlink"/>
          </w:rPr>
          <w:t>http://www.health.gov.on.ca/en/common/ministry/publications/reports/healthy_kids/healthy_kids.pdf</w:t>
        </w:r>
      </w:hyperlink>
      <w:r w:rsidRPr="00E836AE">
        <w:t>.</w:t>
      </w:r>
      <w:r w:rsidR="00083A1C">
        <w:t xml:space="preserve"> </w:t>
      </w:r>
    </w:p>
  </w:endnote>
  <w:endnote w:id="2">
    <w:p w14:paraId="40950822" w14:textId="4507FE8D" w:rsidR="00E836AE" w:rsidRPr="00E836AE" w:rsidRDefault="00E836AE" w:rsidP="005C0C0B">
      <w:pPr>
        <w:pStyle w:val="EndnoteText"/>
        <w:rPr>
          <w:lang w:val="en-CA"/>
        </w:rPr>
      </w:pPr>
      <w:r>
        <w:rPr>
          <w:rStyle w:val="EndnoteReference"/>
        </w:rPr>
        <w:endnoteRef/>
      </w:r>
      <w:r>
        <w:t xml:space="preserve"> </w:t>
      </w:r>
      <w:r>
        <w:tab/>
      </w:r>
      <w:r w:rsidRPr="00E836AE">
        <w:t xml:space="preserve">Ontario Ministry of Heath and Long-term Care. 2013. </w:t>
      </w:r>
      <w:r w:rsidRPr="00E836AE">
        <w:rPr>
          <w:i/>
        </w:rPr>
        <w:t>No time to wait: The healthy kids strategy [Ontario].</w:t>
      </w:r>
      <w:r w:rsidRPr="00E836AE">
        <w:t xml:space="preserve"> Toronto, Canada. Available online: </w:t>
      </w:r>
      <w:hyperlink r:id="rId2" w:history="1">
        <w:r w:rsidR="00083A1C" w:rsidRPr="005941B8">
          <w:rPr>
            <w:rStyle w:val="Hyperlink"/>
          </w:rPr>
          <w:t>http://www.health.gov.on.ca/en/common/ministry/publications/reports/healthy_kids/healthy_kids.pdf</w:t>
        </w:r>
      </w:hyperlink>
      <w:r w:rsidRPr="00E836AE">
        <w:t>.</w:t>
      </w:r>
      <w:r w:rsidR="00083A1C">
        <w:t xml:space="preserve"> </w:t>
      </w:r>
    </w:p>
  </w:endnote>
  <w:endnote w:id="3">
    <w:p w14:paraId="241CEDE3" w14:textId="7D2B0245" w:rsidR="00E836AE" w:rsidRPr="00E836AE" w:rsidRDefault="00E836AE" w:rsidP="00E836AE">
      <w:pPr>
        <w:pStyle w:val="EndnoteText"/>
        <w:rPr>
          <w:lang w:val="en-CA"/>
        </w:rPr>
      </w:pPr>
      <w:r>
        <w:rPr>
          <w:rStyle w:val="EndnoteReference"/>
        </w:rPr>
        <w:endnoteRef/>
      </w:r>
      <w:r>
        <w:t xml:space="preserve"> </w:t>
      </w:r>
      <w:r>
        <w:tab/>
      </w:r>
      <w:r w:rsidRPr="00E836AE">
        <w:t xml:space="preserve">Joshi, Anupama, Andrea Misako Azuma, &amp; Gail Feenstra. 2008. </w:t>
      </w:r>
      <w:r w:rsidRPr="00E836AE">
        <w:rPr>
          <w:i/>
        </w:rPr>
        <w:t>Do Farm-to-School Programs Make a Difference? Findings and Future Research Needs.</w:t>
      </w:r>
      <w:r w:rsidRPr="00E836AE">
        <w:t xml:space="preserve"> Journal of Hunger &amp; Environmental Nutrition, Vol. 3. Available</w:t>
      </w:r>
      <w:r w:rsidR="00083A1C">
        <w:t xml:space="preserve"> </w:t>
      </w:r>
      <w:r w:rsidR="00083A1C" w:rsidRPr="00083A1C">
        <w:t xml:space="preserve">online: </w:t>
      </w:r>
      <w:hyperlink r:id="rId3" w:history="1">
        <w:r w:rsidR="00083A1C" w:rsidRPr="005941B8">
          <w:rPr>
            <w:rStyle w:val="Hyperlink"/>
          </w:rPr>
          <w:t>http://www.cahpf.org/GoDocUserFiles/504.Farm_to_School_Programs.pdf</w:t>
        </w:r>
      </w:hyperlink>
      <w:r w:rsidR="00083A1C">
        <w:t xml:space="preserve">. </w:t>
      </w:r>
    </w:p>
  </w:endnote>
  <w:endnote w:id="4">
    <w:p w14:paraId="7F3332F4" w14:textId="77777777" w:rsidR="00517B57" w:rsidRDefault="00517B57">
      <w:pPr>
        <w:pStyle w:val="EndnoteText"/>
        <w:rPr>
          <w:rFonts w:cs="Times New Roman"/>
        </w:rPr>
      </w:pPr>
      <w:r w:rsidRPr="00CC43C3">
        <w:rPr>
          <w:rStyle w:val="EndnoteReference"/>
          <w:rFonts w:cs="Times New Roman"/>
          <w:szCs w:val="20"/>
        </w:rPr>
        <w:endnoteRef/>
      </w:r>
      <w:r w:rsidRPr="00CC43C3">
        <w:rPr>
          <w:szCs w:val="20"/>
        </w:rPr>
        <w:t xml:space="preserve"> </w:t>
      </w:r>
      <w:r>
        <w:rPr>
          <w:szCs w:val="20"/>
        </w:rPr>
        <w:tab/>
      </w:r>
      <w:r w:rsidRPr="00CC43C3">
        <w:rPr>
          <w:szCs w:val="20"/>
        </w:rPr>
        <w:t>Muthuswamy, E. 2012. “Feeding Our Future: The First- and Second-Year Evaluation.” Toronto District School Board.</w:t>
      </w:r>
    </w:p>
  </w:endnote>
  <w:endnote w:id="5">
    <w:p w14:paraId="6A36C3FB" w14:textId="77777777" w:rsidR="00517B57" w:rsidRDefault="00517B57">
      <w:pPr>
        <w:pStyle w:val="EndnoteText"/>
        <w:rPr>
          <w:szCs w:val="20"/>
        </w:rPr>
      </w:pPr>
      <w:r w:rsidRPr="00CC43C3">
        <w:rPr>
          <w:rStyle w:val="EndnoteReference"/>
          <w:rFonts w:cs="Times New Roman"/>
          <w:szCs w:val="20"/>
        </w:rPr>
        <w:endnoteRef/>
      </w:r>
      <w:r w:rsidRPr="00CC43C3">
        <w:rPr>
          <w:szCs w:val="20"/>
        </w:rPr>
        <w:t xml:space="preserve"> </w:t>
      </w:r>
      <w:r>
        <w:rPr>
          <w:szCs w:val="20"/>
        </w:rPr>
        <w:tab/>
      </w:r>
      <w:r w:rsidRPr="00EC2077">
        <w:rPr>
          <w:szCs w:val="20"/>
        </w:rPr>
        <w:t xml:space="preserve">Tufts University Center on Hunger, Poverty &amp; Nutrition (1994). </w:t>
      </w:r>
      <w:r w:rsidRPr="00EC2077">
        <w:rPr>
          <w:i/>
          <w:iCs/>
          <w:szCs w:val="20"/>
        </w:rPr>
        <w:t>Nutrition Policy</w:t>
      </w:r>
      <w:r w:rsidRPr="00EC2077">
        <w:rPr>
          <w:szCs w:val="20"/>
        </w:rPr>
        <w:t xml:space="preserve">. Retrieved from the Ontario Student Nutrition Program website. Available at: </w:t>
      </w:r>
      <w:hyperlink r:id="rId4" w:history="1">
        <w:r w:rsidRPr="00EC2077">
          <w:rPr>
            <w:rStyle w:val="Hyperlink"/>
            <w:szCs w:val="20"/>
          </w:rPr>
          <w:t>http://www.osnp.ca/menu.php?list=595&amp;page=135</w:t>
        </w:r>
      </w:hyperlink>
      <w:r>
        <w:rPr>
          <w:szCs w:val="20"/>
        </w:rPr>
        <w:t>.</w:t>
      </w:r>
    </w:p>
    <w:p w14:paraId="52097270" w14:textId="77777777" w:rsidR="00517B57" w:rsidRDefault="00517B57" w:rsidP="000E13D6">
      <w:pPr>
        <w:pStyle w:val="EndnoteText"/>
        <w:ind w:firstLine="0"/>
        <w:rPr>
          <w:rFonts w:cs="Times New Roman"/>
        </w:rPr>
      </w:pPr>
      <w:r>
        <w:rPr>
          <w:szCs w:val="20"/>
        </w:rPr>
        <w:t xml:space="preserve">And </w:t>
      </w:r>
      <w:r w:rsidRPr="00EC2077">
        <w:rPr>
          <w:szCs w:val="20"/>
        </w:rPr>
        <w:t xml:space="preserve">American Dietetic Association et al., (2003). Retrieved from the Ontario Student Nutrition Program website. Available at: </w:t>
      </w:r>
      <w:hyperlink r:id="rId5" w:history="1">
        <w:r w:rsidRPr="00EC2077">
          <w:rPr>
            <w:rStyle w:val="Hyperlink"/>
            <w:szCs w:val="20"/>
          </w:rPr>
          <w:t>http://www.osnp.ca/menu.php?list=595&amp;page=135</w:t>
        </w:r>
      </w:hyperlink>
      <w:r>
        <w:rPr>
          <w:szCs w:val="20"/>
        </w:rPr>
        <w:t>.</w:t>
      </w:r>
      <w:r w:rsidRPr="00EC2077" w:rsidDel="00EC2077">
        <w:rPr>
          <w:szCs w:val="20"/>
        </w:rPr>
        <w:t xml:space="preserve"> </w:t>
      </w:r>
    </w:p>
  </w:endnote>
  <w:endnote w:id="6">
    <w:p w14:paraId="66A5FFB1" w14:textId="79571550" w:rsidR="00083A1C" w:rsidRPr="00083A1C" w:rsidRDefault="00083A1C" w:rsidP="005C0C0B">
      <w:pPr>
        <w:pStyle w:val="EndnoteText"/>
        <w:rPr>
          <w:lang w:val="en-CA"/>
        </w:rPr>
      </w:pPr>
      <w:r>
        <w:rPr>
          <w:rStyle w:val="EndnoteReference"/>
        </w:rPr>
        <w:endnoteRef/>
      </w:r>
      <w:r>
        <w:t xml:space="preserve"> </w:t>
      </w:r>
      <w:r>
        <w:tab/>
      </w:r>
      <w:r w:rsidRPr="00083A1C">
        <w:t>Health Canada, 2010.</w:t>
      </w:r>
      <w:r w:rsidR="005C0C0B">
        <w:t xml:space="preserve">  </w:t>
      </w:r>
      <w:r w:rsidR="005C0C0B" w:rsidRPr="005C0C0B">
        <w:rPr>
          <w:lang w:val="en-CA"/>
        </w:rPr>
        <w:t>“Improving cooking and food preparation skills: A synthesis of the evidence to inform program and policy development.</w:t>
      </w:r>
      <w:r w:rsidR="005C0C0B">
        <w:rPr>
          <w:lang w:val="en-CA"/>
        </w:rPr>
        <w:t xml:space="preserve">  </w:t>
      </w:r>
      <w:r w:rsidR="005C0C0B" w:rsidRPr="005C0C0B">
        <w:rPr>
          <w:lang w:val="en-CA"/>
        </w:rPr>
        <w:t>Available online:</w:t>
      </w:r>
      <w:r w:rsidR="005C0C0B">
        <w:rPr>
          <w:lang w:val="en-CA"/>
        </w:rPr>
        <w:t xml:space="preserve">  </w:t>
      </w:r>
      <w:hyperlink r:id="rId6" w:history="1">
        <w:r w:rsidR="005C0C0B" w:rsidRPr="005C0C0B">
          <w:rPr>
            <w:rStyle w:val="Hyperlink"/>
            <w:lang w:val="en-CA"/>
          </w:rPr>
          <w:t>http://www.hc-sc.gc.ca/fn-an/nutrition/child-enfant/cfps-acc-synthes-eng.php</w:t>
        </w:r>
      </w:hyperlink>
      <w:r w:rsidR="005C0C0B">
        <w:t>.</w:t>
      </w:r>
    </w:p>
  </w:endnote>
  <w:endnote w:id="7">
    <w:p w14:paraId="7E2C6093" w14:textId="52D5851B" w:rsidR="00083A1C" w:rsidRPr="00083A1C" w:rsidRDefault="00083A1C" w:rsidP="00083A1C">
      <w:pPr>
        <w:pStyle w:val="EndnoteText"/>
        <w:rPr>
          <w:lang w:val="en-CA"/>
        </w:rPr>
      </w:pPr>
      <w:r>
        <w:rPr>
          <w:rStyle w:val="EndnoteReference"/>
        </w:rPr>
        <w:endnoteRef/>
      </w:r>
      <w:r>
        <w:t xml:space="preserve"> </w:t>
      </w:r>
      <w:r>
        <w:tab/>
      </w:r>
      <w:r w:rsidR="005C0C0B" w:rsidRPr="00083A1C">
        <w:t>Health Canada, 2010.</w:t>
      </w:r>
      <w:r w:rsidR="005C0C0B">
        <w:t xml:space="preserve">  </w:t>
      </w:r>
      <w:r w:rsidR="005C0C0B" w:rsidRPr="005C0C0B">
        <w:rPr>
          <w:lang w:val="en-CA"/>
        </w:rPr>
        <w:t>“Improving cooking and food preparation skills: A synthesis of the evidence to inform program and policy development.</w:t>
      </w:r>
      <w:r w:rsidR="005C0C0B">
        <w:rPr>
          <w:lang w:val="en-CA"/>
        </w:rPr>
        <w:t xml:space="preserve">  </w:t>
      </w:r>
      <w:r w:rsidR="005C0C0B" w:rsidRPr="005C0C0B">
        <w:rPr>
          <w:lang w:val="en-CA"/>
        </w:rPr>
        <w:t>Available online:</w:t>
      </w:r>
      <w:r w:rsidR="005C0C0B">
        <w:rPr>
          <w:lang w:val="en-CA"/>
        </w:rPr>
        <w:t xml:space="preserve">  </w:t>
      </w:r>
      <w:hyperlink r:id="rId7" w:history="1">
        <w:r w:rsidR="005C0C0B" w:rsidRPr="005C0C0B">
          <w:rPr>
            <w:rStyle w:val="Hyperlink"/>
            <w:lang w:val="en-CA"/>
          </w:rPr>
          <w:t>http://www.hc-sc.gc.ca/fn-an/nutrition/child-enfant/cfps-acc-synthes-eng.php</w:t>
        </w:r>
      </w:hyperlink>
      <w:r w:rsidR="005C0C0B">
        <w:t>.</w:t>
      </w:r>
    </w:p>
  </w:endnote>
  <w:endnote w:id="8">
    <w:p w14:paraId="234C422D" w14:textId="77777777" w:rsidR="001F3326" w:rsidRDefault="001F3326" w:rsidP="001F3326">
      <w:pPr>
        <w:pStyle w:val="EndnoteText"/>
        <w:rPr>
          <w:rFonts w:cs="Times New Roman"/>
        </w:rPr>
      </w:pPr>
      <w:r w:rsidRPr="00B2363D">
        <w:rPr>
          <w:rStyle w:val="EndnoteReference"/>
          <w:rFonts w:cs="Times New Roman"/>
          <w:sz w:val="22"/>
          <w:szCs w:val="22"/>
        </w:rPr>
        <w:endnoteRef/>
      </w:r>
      <w:r>
        <w:rPr>
          <w:szCs w:val="20"/>
        </w:rPr>
        <w:t xml:space="preserve"> </w:t>
      </w:r>
      <w:r>
        <w:rPr>
          <w:szCs w:val="20"/>
        </w:rPr>
        <w:tab/>
      </w:r>
      <w:r w:rsidRPr="00A40587">
        <w:rPr>
          <w:szCs w:val="20"/>
        </w:rPr>
        <w:t xml:space="preserve">FoodShare. 2010. “Ontario Online Polling Results.” Strategic Communications Inc. </w:t>
      </w:r>
    </w:p>
  </w:endnote>
  <w:endnote w:id="9">
    <w:p w14:paraId="066A8AD2" w14:textId="70AA3A4A" w:rsidR="00083A1C" w:rsidRPr="00083A1C" w:rsidRDefault="00083A1C" w:rsidP="00083A1C">
      <w:pPr>
        <w:pStyle w:val="EndnoteText"/>
        <w:rPr>
          <w:lang w:val="en-CA"/>
        </w:rPr>
      </w:pPr>
      <w:r>
        <w:rPr>
          <w:rStyle w:val="EndnoteReference"/>
        </w:rPr>
        <w:endnoteRef/>
      </w:r>
      <w:r>
        <w:t xml:space="preserve"> </w:t>
      </w:r>
      <w:r>
        <w:tab/>
      </w:r>
      <w:r w:rsidRPr="00083A1C">
        <w:t xml:space="preserve">Wittman, Hannah, Annette Aurélie Desmarais &amp; Nettie Wiebe. </w:t>
      </w:r>
      <w:r>
        <w:t xml:space="preserve">2011. (eds.) Food Sovereignty </w:t>
      </w:r>
      <w:r w:rsidRPr="00083A1C">
        <w:t>in Canada: Creating Just and Sustainable Food Systems. Fernw</w:t>
      </w:r>
      <w:r>
        <w:t xml:space="preserve">ood Publishing: Black Point, </w:t>
      </w:r>
      <w:r w:rsidRPr="00083A1C">
        <w:t>N.S.</w:t>
      </w:r>
    </w:p>
  </w:endnote>
  <w:endnote w:id="10">
    <w:p w14:paraId="4234018A" w14:textId="77777777" w:rsidR="007F02D3" w:rsidRDefault="007F02D3" w:rsidP="007F02D3">
      <w:pPr>
        <w:pStyle w:val="EndnoteText"/>
        <w:rPr>
          <w:rFonts w:cs="Times New Roman"/>
        </w:rPr>
      </w:pPr>
      <w:r>
        <w:rPr>
          <w:rStyle w:val="EndnoteReference"/>
          <w:rFonts w:cs="Times New Roman"/>
        </w:rPr>
        <w:endnoteRef/>
      </w:r>
      <w:r>
        <w:t xml:space="preserve"> </w:t>
      </w:r>
      <w:r>
        <w:tab/>
      </w:r>
      <w:r>
        <w:rPr>
          <w:szCs w:val="20"/>
        </w:rPr>
        <w:t>Bell, A., Dyment, J. 2006.</w:t>
      </w:r>
    </w:p>
  </w:endnote>
  <w:endnote w:id="11">
    <w:p w14:paraId="257C9D17" w14:textId="77777777" w:rsidR="00517B57" w:rsidRDefault="00517B57">
      <w:pPr>
        <w:pStyle w:val="EndnoteText"/>
        <w:rPr>
          <w:rFonts w:cs="Times New Roman"/>
        </w:rPr>
      </w:pPr>
      <w:r>
        <w:rPr>
          <w:rStyle w:val="EndnoteReference"/>
          <w:rFonts w:cs="Times New Roman"/>
        </w:rPr>
        <w:endnoteRef/>
      </w:r>
      <w:r>
        <w:t xml:space="preserve"> </w:t>
      </w:r>
      <w:r>
        <w:tab/>
      </w:r>
      <w:r>
        <w:rPr>
          <w:szCs w:val="20"/>
        </w:rPr>
        <w:t xml:space="preserve">Bell, A., Dyment, J. 2006. “Grounds for Action: Promoting Physical Activity through School Ground Greening in Canada.” The Toyota Evergreen Learning Grounds Program. Available online: </w:t>
      </w:r>
      <w:hyperlink r:id="rId8" w:history="1">
        <w:r w:rsidRPr="00BA64CF">
          <w:rPr>
            <w:rStyle w:val="Hyperlink"/>
            <w:szCs w:val="20"/>
          </w:rPr>
          <w:t>http://www.evergreen.ca/docs/res/Grounds-For-Action.pdf</w:t>
        </w:r>
      </w:hyperlink>
      <w:r>
        <w:rPr>
          <w:szCs w:val="20"/>
        </w:rPr>
        <w:t xml:space="preserve">. </w:t>
      </w:r>
    </w:p>
  </w:endnote>
  <w:endnote w:id="12">
    <w:p w14:paraId="07286221" w14:textId="0263A58C" w:rsidR="00083A1C" w:rsidRPr="00083A1C" w:rsidRDefault="00083A1C">
      <w:pPr>
        <w:pStyle w:val="EndnoteText"/>
        <w:rPr>
          <w:lang w:val="en-CA"/>
        </w:rPr>
      </w:pPr>
      <w:r>
        <w:rPr>
          <w:rStyle w:val="EndnoteReference"/>
        </w:rPr>
        <w:endnoteRef/>
      </w:r>
      <w:r>
        <w:t xml:space="preserve"> </w:t>
      </w:r>
      <w:r>
        <w:tab/>
      </w:r>
      <w:r w:rsidRPr="00083A1C">
        <w:t xml:space="preserve">Waterloo Region Food System Roundtable. 2012. </w:t>
      </w:r>
      <w:r w:rsidRPr="00083A1C">
        <w:rPr>
          <w:i/>
        </w:rPr>
        <w:t xml:space="preserve">Priorities for Waterloo Region’s Food System. </w:t>
      </w:r>
      <w:r w:rsidRPr="00083A1C">
        <w:t>Available at http://www.wrfoodsystem.ca</w:t>
      </w:r>
      <w:r>
        <w:t>.</w:t>
      </w:r>
    </w:p>
  </w:endnote>
  <w:endnote w:id="13">
    <w:p w14:paraId="7A2C27F0" w14:textId="77777777" w:rsidR="00517B57" w:rsidRDefault="00517B57">
      <w:pPr>
        <w:pStyle w:val="EndnoteText"/>
        <w:rPr>
          <w:rFonts w:cs="Times New Roman"/>
        </w:rPr>
      </w:pPr>
      <w:r w:rsidRPr="00CC43C3">
        <w:rPr>
          <w:rStyle w:val="EndnoteReference"/>
          <w:rFonts w:cs="Times New Roman"/>
          <w:szCs w:val="20"/>
        </w:rPr>
        <w:endnoteRef/>
      </w:r>
      <w:r w:rsidRPr="00CC43C3">
        <w:rPr>
          <w:szCs w:val="20"/>
        </w:rPr>
        <w:t xml:space="preserve"> </w:t>
      </w:r>
      <w:r>
        <w:rPr>
          <w:szCs w:val="20"/>
        </w:rPr>
        <w:tab/>
      </w:r>
      <w:r w:rsidRPr="00CC43C3">
        <w:rPr>
          <w:szCs w:val="20"/>
        </w:rPr>
        <w:t xml:space="preserve">See Policy and Design used by the Vancouver School Board on Gardens: </w:t>
      </w:r>
      <w:hyperlink r:id="rId9" w:history="1">
        <w:r w:rsidRPr="00CC43C3">
          <w:rPr>
            <w:rStyle w:val="Hyperlink"/>
            <w:szCs w:val="20"/>
          </w:rPr>
          <w:t>http://www.vsb.bc.ca/district-policy/io-garden-policy</w:t>
        </w:r>
      </w:hyperlink>
      <w:r w:rsidRPr="00CC43C3">
        <w:rPr>
          <w:szCs w:val="20"/>
        </w:rPr>
        <w:t xml:space="preserve">. </w:t>
      </w:r>
    </w:p>
  </w:endnote>
  <w:endnote w:id="14">
    <w:p w14:paraId="0B052CBC" w14:textId="77777777" w:rsidR="00517B57" w:rsidRDefault="00517B57" w:rsidP="00F4203C">
      <w:pPr>
        <w:pStyle w:val="EndnoteText"/>
        <w:rPr>
          <w:rFonts w:cs="Times New Roman"/>
        </w:rPr>
      </w:pPr>
      <w:r w:rsidRPr="00CC43C3">
        <w:rPr>
          <w:rStyle w:val="EndnoteReference"/>
          <w:rFonts w:cs="Times New Roman"/>
          <w:szCs w:val="20"/>
        </w:rPr>
        <w:endnoteRef/>
      </w:r>
      <w:r w:rsidRPr="00CC43C3">
        <w:rPr>
          <w:szCs w:val="20"/>
        </w:rPr>
        <w:t xml:space="preserve"> </w:t>
      </w:r>
      <w:r>
        <w:rPr>
          <w:szCs w:val="20"/>
        </w:rPr>
        <w:tab/>
      </w:r>
      <w:r w:rsidRPr="00CC43C3">
        <w:rPr>
          <w:szCs w:val="20"/>
        </w:rPr>
        <w:t xml:space="preserve">FoodShare. 2010. “Canadians Demand Federal Action on Childhood Nutrition, National Food Policy.” Press Release. </w:t>
      </w:r>
    </w:p>
  </w:endnote>
  <w:endnote w:id="15">
    <w:p w14:paraId="6091D63A" w14:textId="77777777" w:rsidR="00517B57" w:rsidRDefault="00517B57">
      <w:pPr>
        <w:pStyle w:val="EndnoteText"/>
        <w:rPr>
          <w:rFonts w:cs="Times New Roman"/>
        </w:rPr>
      </w:pPr>
      <w:r w:rsidRPr="00CC43C3">
        <w:rPr>
          <w:rStyle w:val="EndnoteReference"/>
          <w:rFonts w:cs="Times New Roman"/>
          <w:szCs w:val="20"/>
        </w:rPr>
        <w:endnoteRef/>
      </w:r>
      <w:r w:rsidRPr="00CC43C3">
        <w:rPr>
          <w:szCs w:val="20"/>
        </w:rPr>
        <w:t xml:space="preserve"> </w:t>
      </w:r>
      <w:r>
        <w:rPr>
          <w:szCs w:val="20"/>
        </w:rPr>
        <w:tab/>
      </w:r>
      <w:r w:rsidRPr="00CC43C3">
        <w:rPr>
          <w:szCs w:val="20"/>
        </w:rPr>
        <w:t>Toronto Youth Food Policy Council. 2010. “Community Meeting on Food Literacy.” November 2010 Community Meeting Notes.</w:t>
      </w:r>
    </w:p>
  </w:endnote>
  <w:endnote w:id="16">
    <w:p w14:paraId="55D4562C" w14:textId="77777777" w:rsidR="00517B57" w:rsidRDefault="00517B57">
      <w:pPr>
        <w:pStyle w:val="EndnoteText"/>
        <w:rPr>
          <w:rFonts w:cs="Times New Roman"/>
        </w:rPr>
      </w:pPr>
      <w:r w:rsidRPr="00CC43C3">
        <w:rPr>
          <w:rStyle w:val="EndnoteReference"/>
          <w:rFonts w:cs="Times New Roman"/>
          <w:szCs w:val="20"/>
        </w:rPr>
        <w:endnoteRef/>
      </w:r>
      <w:r w:rsidRPr="00CC43C3">
        <w:rPr>
          <w:szCs w:val="20"/>
        </w:rPr>
        <w:t xml:space="preserve"> </w:t>
      </w:r>
      <w:r>
        <w:rPr>
          <w:szCs w:val="20"/>
        </w:rPr>
        <w:tab/>
      </w:r>
      <w:r w:rsidRPr="00CC43C3">
        <w:rPr>
          <w:szCs w:val="20"/>
        </w:rPr>
        <w:t xml:space="preserve">Unhealthy foods and beverages include those that are high in saturated fats, trans-fatty acids, sugars and sodium. </w:t>
      </w:r>
    </w:p>
  </w:endnote>
  <w:endnote w:id="17">
    <w:p w14:paraId="4DFAAD6D" w14:textId="77777777" w:rsidR="00517B57" w:rsidRDefault="00517B57">
      <w:pPr>
        <w:pStyle w:val="EndnoteText"/>
        <w:rPr>
          <w:rFonts w:cs="Times New Roman"/>
        </w:rPr>
      </w:pPr>
      <w:r w:rsidRPr="00CC43C3">
        <w:rPr>
          <w:rStyle w:val="EndnoteReference"/>
          <w:rFonts w:cs="Times New Roman"/>
          <w:szCs w:val="20"/>
        </w:rPr>
        <w:endnoteRef/>
      </w:r>
      <w:r w:rsidRPr="00CC43C3">
        <w:rPr>
          <w:szCs w:val="20"/>
        </w:rPr>
        <w:t xml:space="preserve"> </w:t>
      </w:r>
      <w:r>
        <w:rPr>
          <w:szCs w:val="20"/>
        </w:rPr>
        <w:tab/>
      </w:r>
      <w:r w:rsidRPr="00CC43C3">
        <w:rPr>
          <w:szCs w:val="20"/>
        </w:rPr>
        <w:t xml:space="preserve">See the Quebec Consumer Protection Act of 1980 which prohibits commercial advertising directed at children under the age of 13. </w:t>
      </w:r>
    </w:p>
  </w:endnote>
  <w:endnote w:id="18">
    <w:p w14:paraId="30C7655D" w14:textId="5C23F254" w:rsidR="0023084B" w:rsidRPr="0023084B" w:rsidRDefault="0023084B">
      <w:pPr>
        <w:pStyle w:val="EndnoteText"/>
        <w:rPr>
          <w:lang w:val="en-CA"/>
        </w:rPr>
      </w:pPr>
      <w:r>
        <w:rPr>
          <w:rStyle w:val="EndnoteReference"/>
        </w:rPr>
        <w:endnoteRef/>
      </w:r>
      <w:r>
        <w:t xml:space="preserve"> </w:t>
      </w:r>
      <w:r>
        <w:rPr>
          <w:lang w:val="en-CA"/>
        </w:rPr>
        <w:tab/>
      </w:r>
      <w:r w:rsidR="00F864E0">
        <w:rPr>
          <w:lang w:val="en-CA"/>
        </w:rPr>
        <w:t>Th</w:t>
      </w:r>
      <w:r w:rsidR="00F864E0" w:rsidRPr="0023084B">
        <w:t>e Ontario Collaborative Group on Healthy Eating and Physical Activity</w:t>
      </w:r>
      <w:r w:rsidR="00F864E0">
        <w:rPr>
          <w:lang w:val="en-CA"/>
        </w:rPr>
        <w:t xml:space="preserve"> is preparing a</w:t>
      </w:r>
      <w:r>
        <w:rPr>
          <w:lang w:val="en-CA"/>
        </w:rPr>
        <w:t xml:space="preserve"> model </w:t>
      </w:r>
      <w:r w:rsidRPr="0023084B">
        <w:rPr>
          <w:lang w:val="en-CA"/>
        </w:rPr>
        <w:t>Ontario Food and Nutrition Strategy (OFNS)</w:t>
      </w:r>
      <w:r w:rsidR="00F864E0">
        <w:t xml:space="preserve"> in collaboration</w:t>
      </w:r>
      <w:r w:rsidRPr="0023084B">
        <w:t xml:space="preserve"> </w:t>
      </w:r>
      <w:r>
        <w:t xml:space="preserve">with Sustain Ontario as a member of the </w:t>
      </w:r>
      <w:r w:rsidRPr="0023084B">
        <w:rPr>
          <w:lang w:val="en-CA"/>
        </w:rPr>
        <w:t>design team</w:t>
      </w:r>
      <w:r>
        <w:rPr>
          <w:lang w:val="en-CA"/>
        </w:rPr>
        <w:t xml:space="preserve">.  The OFNS has </w:t>
      </w:r>
      <w:r w:rsidR="00F864E0">
        <w:rPr>
          <w:lang w:val="en-CA"/>
        </w:rPr>
        <w:t>been informed by</w:t>
      </w:r>
      <w:r>
        <w:rPr>
          <w:lang w:val="en-CA"/>
        </w:rPr>
        <w:t xml:space="preserve"> broad stakeholder consultation and is intended to provide </w:t>
      </w:r>
      <w:r w:rsidR="00F864E0">
        <w:rPr>
          <w:lang w:val="en-CA"/>
        </w:rPr>
        <w:t>a</w:t>
      </w:r>
      <w:r w:rsidRPr="0023084B">
        <w:rPr>
          <w:lang w:val="en-CA"/>
        </w:rPr>
        <w:t xml:space="preserve"> coordinated, cross-ministerial approach to food policies and programming </w:t>
      </w:r>
      <w:r w:rsidR="00F864E0">
        <w:rPr>
          <w:lang w:val="en-CA"/>
        </w:rPr>
        <w:t>in the province of Ontario</w:t>
      </w:r>
      <w:r w:rsidRPr="0023084B">
        <w:rPr>
          <w:lang w:val="en-CA"/>
        </w:rPr>
        <w:t>.</w:t>
      </w:r>
      <w:r w:rsidR="00F864E0">
        <w:rPr>
          <w:lang w:val="en-CA"/>
        </w:rPr>
        <w:t xml:space="preserve">  The OFNS is available at: </w:t>
      </w:r>
      <w:hyperlink r:id="rId10" w:history="1">
        <w:r w:rsidR="00F864E0" w:rsidRPr="00B94871">
          <w:rPr>
            <w:rStyle w:val="Hyperlink"/>
            <w:lang w:val="en-CA"/>
          </w:rPr>
          <w:t>http://sustainontario.com/initiatives/ontario-food-and-nutrition-strategy</w:t>
        </w:r>
      </w:hyperlink>
      <w:r w:rsidR="00F864E0">
        <w:rPr>
          <w:lang w:val="en-CA"/>
        </w:rPr>
        <w:t xml:space="preserve">. </w:t>
      </w:r>
    </w:p>
  </w:endnote>
  <w:endnote w:id="19">
    <w:p w14:paraId="24DC0777" w14:textId="1014A0A5" w:rsidR="00517B57" w:rsidRPr="00556818" w:rsidRDefault="00517B57">
      <w:pPr>
        <w:pStyle w:val="EndnoteText"/>
        <w:rPr>
          <w:lang w:val="en-CA"/>
        </w:rPr>
      </w:pPr>
      <w:r>
        <w:rPr>
          <w:rStyle w:val="EndnoteReference"/>
        </w:rPr>
        <w:endnoteRef/>
      </w:r>
      <w:r>
        <w:t xml:space="preserve"> </w:t>
      </w:r>
      <w:r>
        <w:tab/>
      </w:r>
      <w:r>
        <w:rPr>
          <w:lang w:val="en-CA"/>
        </w:rPr>
        <w:t xml:space="preserve">See the D.C Healthy Schools Act for a model of a law designed to support the comprehensive health and wellness of students: </w:t>
      </w:r>
      <w:r w:rsidRPr="00053036">
        <w:rPr>
          <w:lang w:val="en-CA"/>
        </w:rPr>
        <w:t>http://dchealthyschools.org/</w:t>
      </w:r>
      <w:r w:rsidR="00083A1C">
        <w:rPr>
          <w:lang w:val="en-CA"/>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628057"/>
      <w:docPartObj>
        <w:docPartGallery w:val="Page Numbers (Bottom of Page)"/>
        <w:docPartUnique/>
      </w:docPartObj>
    </w:sdtPr>
    <w:sdtEndPr>
      <w:rPr>
        <w:rFonts w:asciiTheme="majorHAnsi" w:hAnsiTheme="majorHAnsi" w:cstheme="minorHAnsi"/>
        <w:noProof/>
        <w:sz w:val="22"/>
        <w:szCs w:val="22"/>
      </w:rPr>
    </w:sdtEndPr>
    <w:sdtContent>
      <w:p w14:paraId="2C733AB0" w14:textId="77777777" w:rsidR="00181542" w:rsidRDefault="00181542">
        <w:pPr>
          <w:pStyle w:val="Footer"/>
          <w:jc w:val="right"/>
        </w:pPr>
      </w:p>
      <w:p w14:paraId="774D2DDB" w14:textId="7AC9CE7D" w:rsidR="00181542" w:rsidRPr="00181542" w:rsidRDefault="00181542" w:rsidP="00181542">
        <w:pPr>
          <w:pStyle w:val="Footer"/>
          <w:tabs>
            <w:tab w:val="clear" w:pos="4680"/>
          </w:tabs>
          <w:rPr>
            <w:rFonts w:asciiTheme="minorHAnsi" w:hAnsiTheme="minorHAnsi" w:cstheme="minorHAnsi"/>
          </w:rPr>
        </w:pPr>
        <w:r>
          <w:t>www.sustainontario.com</w:t>
        </w:r>
        <w:r>
          <w:tab/>
        </w:r>
        <w:r w:rsidRPr="002C6EF8">
          <w:rPr>
            <w:rFonts w:asciiTheme="majorHAnsi" w:hAnsiTheme="majorHAnsi" w:cstheme="minorHAnsi"/>
            <w:sz w:val="22"/>
            <w:szCs w:val="22"/>
          </w:rPr>
          <w:fldChar w:fldCharType="begin"/>
        </w:r>
        <w:r w:rsidRPr="002C6EF8">
          <w:rPr>
            <w:rFonts w:asciiTheme="majorHAnsi" w:hAnsiTheme="majorHAnsi" w:cstheme="minorHAnsi"/>
            <w:sz w:val="22"/>
            <w:szCs w:val="22"/>
          </w:rPr>
          <w:instrText xml:space="preserve"> PAGE   \* MERGEFORMAT </w:instrText>
        </w:r>
        <w:r w:rsidRPr="002C6EF8">
          <w:rPr>
            <w:rFonts w:asciiTheme="majorHAnsi" w:hAnsiTheme="majorHAnsi" w:cstheme="minorHAnsi"/>
            <w:sz w:val="22"/>
            <w:szCs w:val="22"/>
          </w:rPr>
          <w:fldChar w:fldCharType="separate"/>
        </w:r>
        <w:r w:rsidR="009D1EAA">
          <w:rPr>
            <w:rFonts w:asciiTheme="majorHAnsi" w:hAnsiTheme="majorHAnsi" w:cstheme="minorHAnsi"/>
            <w:noProof/>
            <w:sz w:val="22"/>
            <w:szCs w:val="22"/>
          </w:rPr>
          <w:t>9</w:t>
        </w:r>
        <w:r w:rsidRPr="002C6EF8">
          <w:rPr>
            <w:rFonts w:asciiTheme="majorHAnsi" w:hAnsiTheme="majorHAnsi" w:cstheme="minorHAnsi"/>
            <w:noProof/>
            <w:sz w:val="22"/>
            <w:szCs w:val="22"/>
          </w:rPr>
          <w:fldChar w:fldCharType="end"/>
        </w:r>
      </w:p>
    </w:sdtContent>
  </w:sdt>
  <w:p w14:paraId="24D3FD78" w14:textId="77777777" w:rsidR="00181542" w:rsidRDefault="001815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265C2" w14:textId="77777777" w:rsidR="00305D24" w:rsidRDefault="00305D24" w:rsidP="00F4203C">
      <w:pPr>
        <w:rPr>
          <w:rFonts w:cs="Times New Roman"/>
        </w:rPr>
      </w:pPr>
      <w:r>
        <w:rPr>
          <w:rFonts w:cs="Times New Roman"/>
        </w:rPr>
        <w:separator/>
      </w:r>
    </w:p>
  </w:footnote>
  <w:footnote w:type="continuationSeparator" w:id="0">
    <w:p w14:paraId="0ADDB17C" w14:textId="77777777" w:rsidR="00305D24" w:rsidRDefault="00305D24" w:rsidP="00F4203C">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5B4835"/>
    <w:multiLevelType w:val="hybridMultilevel"/>
    <w:tmpl w:val="B51681F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nsid w:val="049D1F9A"/>
    <w:multiLevelType w:val="hybridMultilevel"/>
    <w:tmpl w:val="01E877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154743B"/>
    <w:multiLevelType w:val="hybridMultilevel"/>
    <w:tmpl w:val="2E8046BA"/>
    <w:lvl w:ilvl="0" w:tplc="4BB02DAA">
      <w:start w:val="1"/>
      <w:numFmt w:val="decimal"/>
      <w:lvlText w:val="%1)"/>
      <w:lvlJc w:val="left"/>
      <w:pPr>
        <w:ind w:left="720" w:hanging="360"/>
      </w:pPr>
      <w:rPr>
        <w:rFonts w:cs="Cambria" w:hint="default"/>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1315B5"/>
    <w:multiLevelType w:val="hybridMultilevel"/>
    <w:tmpl w:val="C4A6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657B4"/>
    <w:multiLevelType w:val="hybridMultilevel"/>
    <w:tmpl w:val="B98E18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274662D"/>
    <w:multiLevelType w:val="hybridMultilevel"/>
    <w:tmpl w:val="247CF3A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nsid w:val="26A00B11"/>
    <w:multiLevelType w:val="multilevel"/>
    <w:tmpl w:val="5EC4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0E57A1"/>
    <w:multiLevelType w:val="hybridMultilevel"/>
    <w:tmpl w:val="1E0E829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nsid w:val="2C3400B3"/>
    <w:multiLevelType w:val="hybridMultilevel"/>
    <w:tmpl w:val="0DA283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E077049"/>
    <w:multiLevelType w:val="hybridMultilevel"/>
    <w:tmpl w:val="F54025A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nsid w:val="2F3533AD"/>
    <w:multiLevelType w:val="hybridMultilevel"/>
    <w:tmpl w:val="5120A0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59437B2"/>
    <w:multiLevelType w:val="hybridMultilevel"/>
    <w:tmpl w:val="C888BF1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3">
    <w:nsid w:val="377301D5"/>
    <w:multiLevelType w:val="hybridMultilevel"/>
    <w:tmpl w:val="CF4A0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1B87CE4"/>
    <w:multiLevelType w:val="hybridMultilevel"/>
    <w:tmpl w:val="284E959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A83483"/>
    <w:multiLevelType w:val="hybridMultilevel"/>
    <w:tmpl w:val="91E0C06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6">
    <w:nsid w:val="4DF60F84"/>
    <w:multiLevelType w:val="hybridMultilevel"/>
    <w:tmpl w:val="BF5CA15C"/>
    <w:lvl w:ilvl="0" w:tplc="727A40B4">
      <w:numFmt w:val="bullet"/>
      <w:lvlText w:val=""/>
      <w:lvlJc w:val="left"/>
      <w:pPr>
        <w:ind w:left="720" w:hanging="360"/>
      </w:pPr>
      <w:rPr>
        <w:rFonts w:ascii="Wingdings" w:eastAsia="MS ??"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2CB7CEE"/>
    <w:multiLevelType w:val="hybridMultilevel"/>
    <w:tmpl w:val="5CACA138"/>
    <w:lvl w:ilvl="0" w:tplc="8EF8653A">
      <w:start w:val="1"/>
      <w:numFmt w:val="decimal"/>
      <w:lvlText w:val="%1."/>
      <w:lvlJc w:val="left"/>
      <w:pPr>
        <w:ind w:left="720" w:hanging="360"/>
      </w:pPr>
      <w:rPr>
        <w:rFonts w:hint="default"/>
        <w:b/>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ABF10E2"/>
    <w:multiLevelType w:val="hybridMultilevel"/>
    <w:tmpl w:val="E200D8E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9">
    <w:nsid w:val="5B26188C"/>
    <w:multiLevelType w:val="hybridMultilevel"/>
    <w:tmpl w:val="E50C7A8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0">
    <w:nsid w:val="61EE27AB"/>
    <w:multiLevelType w:val="hybridMultilevel"/>
    <w:tmpl w:val="029A154C"/>
    <w:lvl w:ilvl="0" w:tplc="78B078FA">
      <w:start w:val="1"/>
      <w:numFmt w:val="bullet"/>
      <w:lvlText w:val=""/>
      <w:lvlJc w:val="left"/>
      <w:pPr>
        <w:tabs>
          <w:tab w:val="num" w:pos="113"/>
        </w:tabs>
        <w:ind w:left="340" w:hanging="227"/>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62910DA1"/>
    <w:multiLevelType w:val="hybridMultilevel"/>
    <w:tmpl w:val="236A171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2">
    <w:nsid w:val="6907712C"/>
    <w:multiLevelType w:val="hybridMultilevel"/>
    <w:tmpl w:val="FE78E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EB97565"/>
    <w:multiLevelType w:val="hybridMultilevel"/>
    <w:tmpl w:val="D74875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54A6A55"/>
    <w:multiLevelType w:val="hybridMultilevel"/>
    <w:tmpl w:val="1222E3E6"/>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5">
    <w:nsid w:val="7A1F3CA9"/>
    <w:multiLevelType w:val="hybridMultilevel"/>
    <w:tmpl w:val="D38642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21"/>
  </w:num>
  <w:num w:numId="4">
    <w:abstractNumId w:val="0"/>
  </w:num>
  <w:num w:numId="5">
    <w:abstractNumId w:val="15"/>
  </w:num>
  <w:num w:numId="6">
    <w:abstractNumId w:val="12"/>
  </w:num>
  <w:num w:numId="7">
    <w:abstractNumId w:val="18"/>
  </w:num>
  <w:num w:numId="8">
    <w:abstractNumId w:val="10"/>
  </w:num>
  <w:num w:numId="9">
    <w:abstractNumId w:val="6"/>
  </w:num>
  <w:num w:numId="10">
    <w:abstractNumId w:val="8"/>
  </w:num>
  <w:num w:numId="11">
    <w:abstractNumId w:val="9"/>
  </w:num>
  <w:num w:numId="12">
    <w:abstractNumId w:val="17"/>
  </w:num>
  <w:num w:numId="13">
    <w:abstractNumId w:val="16"/>
  </w:num>
  <w:num w:numId="14">
    <w:abstractNumId w:val="14"/>
  </w:num>
  <w:num w:numId="15">
    <w:abstractNumId w:val="23"/>
  </w:num>
  <w:num w:numId="16">
    <w:abstractNumId w:val="24"/>
  </w:num>
  <w:num w:numId="17">
    <w:abstractNumId w:val="7"/>
  </w:num>
  <w:num w:numId="18">
    <w:abstractNumId w:val="2"/>
  </w:num>
  <w:num w:numId="19">
    <w:abstractNumId w:val="19"/>
  </w:num>
  <w:num w:numId="20">
    <w:abstractNumId w:val="4"/>
  </w:num>
  <w:num w:numId="21">
    <w:abstractNumId w:val="3"/>
  </w:num>
  <w:num w:numId="22">
    <w:abstractNumId w:val="22"/>
  </w:num>
  <w:num w:numId="23">
    <w:abstractNumId w:val="5"/>
  </w:num>
  <w:num w:numId="24">
    <w:abstractNumId w:val="13"/>
  </w:num>
  <w:num w:numId="25">
    <w:abstractNumId w:val="1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290"/>
    <w:rsid w:val="000128CB"/>
    <w:rsid w:val="0001742B"/>
    <w:rsid w:val="00050F28"/>
    <w:rsid w:val="00053036"/>
    <w:rsid w:val="000574C3"/>
    <w:rsid w:val="00080766"/>
    <w:rsid w:val="00083A1C"/>
    <w:rsid w:val="0008784F"/>
    <w:rsid w:val="000A0A34"/>
    <w:rsid w:val="000B52EB"/>
    <w:rsid w:val="000D21AD"/>
    <w:rsid w:val="000D32B4"/>
    <w:rsid w:val="000D5722"/>
    <w:rsid w:val="000E13D6"/>
    <w:rsid w:val="000E3BDF"/>
    <w:rsid w:val="000F393B"/>
    <w:rsid w:val="00112B0B"/>
    <w:rsid w:val="00131A21"/>
    <w:rsid w:val="00156CAB"/>
    <w:rsid w:val="001618A2"/>
    <w:rsid w:val="00161C66"/>
    <w:rsid w:val="00181542"/>
    <w:rsid w:val="00190028"/>
    <w:rsid w:val="001C2B91"/>
    <w:rsid w:val="001F3326"/>
    <w:rsid w:val="00202C29"/>
    <w:rsid w:val="00207219"/>
    <w:rsid w:val="002109B4"/>
    <w:rsid w:val="00214EA7"/>
    <w:rsid w:val="002267D3"/>
    <w:rsid w:val="0023084B"/>
    <w:rsid w:val="00253744"/>
    <w:rsid w:val="00260465"/>
    <w:rsid w:val="00265FDC"/>
    <w:rsid w:val="0027061D"/>
    <w:rsid w:val="00282F6F"/>
    <w:rsid w:val="002853B0"/>
    <w:rsid w:val="00287FB4"/>
    <w:rsid w:val="002A012E"/>
    <w:rsid w:val="002A6A75"/>
    <w:rsid w:val="002B6E1C"/>
    <w:rsid w:val="002C6136"/>
    <w:rsid w:val="002C6EF8"/>
    <w:rsid w:val="002E10F0"/>
    <w:rsid w:val="002F1407"/>
    <w:rsid w:val="00301066"/>
    <w:rsid w:val="0030542D"/>
    <w:rsid w:val="00305D24"/>
    <w:rsid w:val="00315ADE"/>
    <w:rsid w:val="003249E9"/>
    <w:rsid w:val="003328F0"/>
    <w:rsid w:val="00332B6F"/>
    <w:rsid w:val="003662BE"/>
    <w:rsid w:val="003715A1"/>
    <w:rsid w:val="00390FD6"/>
    <w:rsid w:val="00395A83"/>
    <w:rsid w:val="003A513F"/>
    <w:rsid w:val="003E3F40"/>
    <w:rsid w:val="003F50B0"/>
    <w:rsid w:val="003F6588"/>
    <w:rsid w:val="00415D21"/>
    <w:rsid w:val="004567A7"/>
    <w:rsid w:val="004723ED"/>
    <w:rsid w:val="00481A6E"/>
    <w:rsid w:val="00483C5A"/>
    <w:rsid w:val="00487271"/>
    <w:rsid w:val="00492E05"/>
    <w:rsid w:val="00497C7F"/>
    <w:rsid w:val="004B0EE6"/>
    <w:rsid w:val="004C1BF1"/>
    <w:rsid w:val="004D70A4"/>
    <w:rsid w:val="004E1550"/>
    <w:rsid w:val="004E76A8"/>
    <w:rsid w:val="004F41DA"/>
    <w:rsid w:val="0050261E"/>
    <w:rsid w:val="0051323D"/>
    <w:rsid w:val="005136D1"/>
    <w:rsid w:val="00517B57"/>
    <w:rsid w:val="00542CA3"/>
    <w:rsid w:val="00551B1F"/>
    <w:rsid w:val="00556818"/>
    <w:rsid w:val="00564694"/>
    <w:rsid w:val="00587520"/>
    <w:rsid w:val="005A2EAA"/>
    <w:rsid w:val="005A3033"/>
    <w:rsid w:val="005B15C2"/>
    <w:rsid w:val="005B2E7B"/>
    <w:rsid w:val="005B50E7"/>
    <w:rsid w:val="005C0C0B"/>
    <w:rsid w:val="005C6351"/>
    <w:rsid w:val="005D196F"/>
    <w:rsid w:val="005E2521"/>
    <w:rsid w:val="005F155F"/>
    <w:rsid w:val="005F43E3"/>
    <w:rsid w:val="005F7AF5"/>
    <w:rsid w:val="0061131B"/>
    <w:rsid w:val="00624C62"/>
    <w:rsid w:val="00645270"/>
    <w:rsid w:val="00670C4A"/>
    <w:rsid w:val="006750CB"/>
    <w:rsid w:val="0068067F"/>
    <w:rsid w:val="00680823"/>
    <w:rsid w:val="00694820"/>
    <w:rsid w:val="00695BF0"/>
    <w:rsid w:val="006B5689"/>
    <w:rsid w:val="006D03FE"/>
    <w:rsid w:val="006D7F0D"/>
    <w:rsid w:val="006E2B2B"/>
    <w:rsid w:val="006F5049"/>
    <w:rsid w:val="00700121"/>
    <w:rsid w:val="0074474D"/>
    <w:rsid w:val="0076668C"/>
    <w:rsid w:val="007727FD"/>
    <w:rsid w:val="007855C7"/>
    <w:rsid w:val="0079070F"/>
    <w:rsid w:val="00792842"/>
    <w:rsid w:val="007B2676"/>
    <w:rsid w:val="007B6CA8"/>
    <w:rsid w:val="007B78D6"/>
    <w:rsid w:val="007E1126"/>
    <w:rsid w:val="007E1F61"/>
    <w:rsid w:val="007F02D3"/>
    <w:rsid w:val="00813AF2"/>
    <w:rsid w:val="00821451"/>
    <w:rsid w:val="008320AF"/>
    <w:rsid w:val="008648A5"/>
    <w:rsid w:val="00874B42"/>
    <w:rsid w:val="00882537"/>
    <w:rsid w:val="008826B7"/>
    <w:rsid w:val="008C2374"/>
    <w:rsid w:val="008C5E1E"/>
    <w:rsid w:val="008D44D7"/>
    <w:rsid w:val="00907F76"/>
    <w:rsid w:val="00932BB6"/>
    <w:rsid w:val="00936CBF"/>
    <w:rsid w:val="00941947"/>
    <w:rsid w:val="00991280"/>
    <w:rsid w:val="00993DBB"/>
    <w:rsid w:val="009B7E1F"/>
    <w:rsid w:val="009C6D7A"/>
    <w:rsid w:val="009D1EAA"/>
    <w:rsid w:val="009D2620"/>
    <w:rsid w:val="009D30DB"/>
    <w:rsid w:val="009D46A1"/>
    <w:rsid w:val="009D76DD"/>
    <w:rsid w:val="009E43A1"/>
    <w:rsid w:val="00A07F45"/>
    <w:rsid w:val="00A23D7C"/>
    <w:rsid w:val="00A40587"/>
    <w:rsid w:val="00A42F19"/>
    <w:rsid w:val="00A515C4"/>
    <w:rsid w:val="00A7055A"/>
    <w:rsid w:val="00A73A6B"/>
    <w:rsid w:val="00A82805"/>
    <w:rsid w:val="00AA67BB"/>
    <w:rsid w:val="00AF7F69"/>
    <w:rsid w:val="00B046EF"/>
    <w:rsid w:val="00B10D71"/>
    <w:rsid w:val="00B2363D"/>
    <w:rsid w:val="00B250EF"/>
    <w:rsid w:val="00B51288"/>
    <w:rsid w:val="00B57858"/>
    <w:rsid w:val="00B7387D"/>
    <w:rsid w:val="00B9184E"/>
    <w:rsid w:val="00B97240"/>
    <w:rsid w:val="00B97535"/>
    <w:rsid w:val="00BA5A26"/>
    <w:rsid w:val="00BA64CF"/>
    <w:rsid w:val="00BA79C9"/>
    <w:rsid w:val="00BC5B5F"/>
    <w:rsid w:val="00BE4954"/>
    <w:rsid w:val="00BF675E"/>
    <w:rsid w:val="00C15A81"/>
    <w:rsid w:val="00C22243"/>
    <w:rsid w:val="00C2378F"/>
    <w:rsid w:val="00C317FC"/>
    <w:rsid w:val="00C351FD"/>
    <w:rsid w:val="00C454A3"/>
    <w:rsid w:val="00C65290"/>
    <w:rsid w:val="00C73D72"/>
    <w:rsid w:val="00C93DC4"/>
    <w:rsid w:val="00CA0B9C"/>
    <w:rsid w:val="00CA5B0E"/>
    <w:rsid w:val="00CC43C3"/>
    <w:rsid w:val="00CF3FE8"/>
    <w:rsid w:val="00D10DF3"/>
    <w:rsid w:val="00D115A1"/>
    <w:rsid w:val="00D23095"/>
    <w:rsid w:val="00D27925"/>
    <w:rsid w:val="00D34665"/>
    <w:rsid w:val="00D6430F"/>
    <w:rsid w:val="00DA0658"/>
    <w:rsid w:val="00DD6818"/>
    <w:rsid w:val="00DF2999"/>
    <w:rsid w:val="00E00E0F"/>
    <w:rsid w:val="00E02FA7"/>
    <w:rsid w:val="00E432CC"/>
    <w:rsid w:val="00E43BD2"/>
    <w:rsid w:val="00E64AF9"/>
    <w:rsid w:val="00E83301"/>
    <w:rsid w:val="00E8362A"/>
    <w:rsid w:val="00E836AE"/>
    <w:rsid w:val="00E83A2D"/>
    <w:rsid w:val="00EA44DD"/>
    <w:rsid w:val="00EB3307"/>
    <w:rsid w:val="00EB6A9F"/>
    <w:rsid w:val="00EC01A1"/>
    <w:rsid w:val="00EC2077"/>
    <w:rsid w:val="00ED3637"/>
    <w:rsid w:val="00EF0B8E"/>
    <w:rsid w:val="00EF4237"/>
    <w:rsid w:val="00F00E29"/>
    <w:rsid w:val="00F13945"/>
    <w:rsid w:val="00F339AA"/>
    <w:rsid w:val="00F4203C"/>
    <w:rsid w:val="00F42F66"/>
    <w:rsid w:val="00F51FCA"/>
    <w:rsid w:val="00F5338C"/>
    <w:rsid w:val="00F702D7"/>
    <w:rsid w:val="00F740F3"/>
    <w:rsid w:val="00F80C65"/>
    <w:rsid w:val="00F864E0"/>
    <w:rsid w:val="00F902E2"/>
    <w:rsid w:val="00F936CB"/>
    <w:rsid w:val="00FB44AB"/>
    <w:rsid w:val="00FB5C42"/>
    <w:rsid w:val="00FD5850"/>
    <w:rsid w:val="00FE26BB"/>
    <w:rsid w:val="00FE4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80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D6"/>
    <w:rPr>
      <w:rFonts w:cs="Cambria"/>
      <w:sz w:val="24"/>
      <w:szCs w:val="24"/>
    </w:rPr>
  </w:style>
  <w:style w:type="paragraph" w:styleId="Heading2">
    <w:name w:val="heading 2"/>
    <w:basedOn w:val="Normal"/>
    <w:link w:val="Heading2Char"/>
    <w:uiPriority w:val="9"/>
    <w:qFormat/>
    <w:rsid w:val="006B5689"/>
    <w:pPr>
      <w:spacing w:before="100" w:beforeAutospacing="1" w:after="100" w:afterAutospacing="1"/>
      <w:outlineLvl w:val="1"/>
    </w:pPr>
    <w:rPr>
      <w:rFonts w:ascii="Times" w:eastAsiaTheme="minorEastAsia"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
    <w:name w:val="Action"/>
    <w:basedOn w:val="Normal"/>
    <w:uiPriority w:val="99"/>
    <w:rPr>
      <w:b/>
      <w:bCs/>
      <w:color w:val="C0504D"/>
    </w:rPr>
  </w:style>
  <w:style w:type="paragraph" w:styleId="ListParagraph">
    <w:name w:val="List Paragraph"/>
    <w:basedOn w:val="Normal"/>
    <w:uiPriority w:val="34"/>
    <w:qFormat/>
    <w:pPr>
      <w:ind w:left="720"/>
      <w:contextualSpacing/>
    </w:pPr>
  </w:style>
  <w:style w:type="paragraph" w:styleId="EndnoteText">
    <w:name w:val="endnote text"/>
    <w:basedOn w:val="Normal"/>
    <w:link w:val="EndnoteTextChar"/>
    <w:uiPriority w:val="99"/>
    <w:semiHidden/>
    <w:rsid w:val="000E13D6"/>
    <w:pPr>
      <w:spacing w:before="120"/>
      <w:ind w:left="284" w:hanging="284"/>
    </w:pPr>
    <w:rPr>
      <w:rFonts w:asciiTheme="minorHAnsi" w:hAnsiTheme="minorHAnsi"/>
      <w:sz w:val="20"/>
    </w:rPr>
  </w:style>
  <w:style w:type="character" w:customStyle="1" w:styleId="EndnoteTextChar">
    <w:name w:val="Endnote Text Char"/>
    <w:basedOn w:val="DefaultParagraphFont"/>
    <w:link w:val="EndnoteText"/>
    <w:uiPriority w:val="99"/>
    <w:semiHidden/>
    <w:rsid w:val="000E13D6"/>
    <w:rPr>
      <w:rFonts w:asciiTheme="minorHAnsi" w:hAnsiTheme="minorHAnsi" w:cs="Cambria"/>
      <w:sz w:val="20"/>
      <w:szCs w:val="24"/>
    </w:rPr>
  </w:style>
  <w:style w:type="character" w:styleId="EndnoteReference">
    <w:name w:val="endnote reference"/>
    <w:basedOn w:val="DefaultParagraphFont"/>
    <w:uiPriority w:val="99"/>
    <w:semiHidden/>
    <w:rPr>
      <w:vertAlign w:val="superscript"/>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rPr>
      <w:sz w:val="18"/>
      <w:szCs w:val="18"/>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Revision">
    <w:name w:val="Revision"/>
    <w:hidden/>
    <w:uiPriority w:val="99"/>
    <w:semiHidden/>
    <w:rsid w:val="009E43A1"/>
    <w:rPr>
      <w:rFonts w:cs="Cambria"/>
      <w:sz w:val="24"/>
      <w:szCs w:val="24"/>
    </w:rPr>
  </w:style>
  <w:style w:type="character" w:customStyle="1" w:styleId="ovitalic">
    <w:name w:val="ovitalic"/>
    <w:basedOn w:val="DefaultParagraphFont"/>
    <w:rsid w:val="00645270"/>
  </w:style>
  <w:style w:type="paragraph" w:styleId="FootnoteText">
    <w:name w:val="footnote text"/>
    <w:basedOn w:val="Normal"/>
    <w:link w:val="FootnoteTextChar"/>
    <w:uiPriority w:val="99"/>
    <w:unhideWhenUsed/>
    <w:rsid w:val="00C317FC"/>
    <w:rPr>
      <w:sz w:val="20"/>
      <w:szCs w:val="20"/>
    </w:rPr>
  </w:style>
  <w:style w:type="character" w:customStyle="1" w:styleId="FootnoteTextChar">
    <w:name w:val="Footnote Text Char"/>
    <w:basedOn w:val="DefaultParagraphFont"/>
    <w:link w:val="FootnoteText"/>
    <w:uiPriority w:val="99"/>
    <w:rsid w:val="00C317FC"/>
    <w:rPr>
      <w:rFonts w:cs="Cambria"/>
      <w:sz w:val="20"/>
      <w:szCs w:val="20"/>
    </w:rPr>
  </w:style>
  <w:style w:type="character" w:styleId="FootnoteReference">
    <w:name w:val="footnote reference"/>
    <w:basedOn w:val="DefaultParagraphFont"/>
    <w:uiPriority w:val="99"/>
    <w:unhideWhenUsed/>
    <w:rsid w:val="00C317FC"/>
    <w:rPr>
      <w:vertAlign w:val="superscript"/>
    </w:rPr>
  </w:style>
  <w:style w:type="character" w:customStyle="1" w:styleId="Heading2Char">
    <w:name w:val="Heading 2 Char"/>
    <w:basedOn w:val="DefaultParagraphFont"/>
    <w:link w:val="Heading2"/>
    <w:uiPriority w:val="9"/>
    <w:rsid w:val="006B5689"/>
    <w:rPr>
      <w:rFonts w:ascii="Times" w:eastAsiaTheme="minorEastAsia" w:hAnsi="Times" w:cstheme="minorBidi"/>
      <w:b/>
      <w:bCs/>
      <w:sz w:val="36"/>
      <w:szCs w:val="36"/>
    </w:rPr>
  </w:style>
  <w:style w:type="character" w:styleId="Emphasis">
    <w:name w:val="Emphasis"/>
    <w:basedOn w:val="DefaultParagraphFont"/>
    <w:uiPriority w:val="20"/>
    <w:qFormat/>
    <w:rsid w:val="009B7E1F"/>
    <w:rPr>
      <w:i/>
      <w:iCs/>
    </w:rPr>
  </w:style>
  <w:style w:type="paragraph" w:styleId="PlainText">
    <w:name w:val="Plain Text"/>
    <w:basedOn w:val="Normal"/>
    <w:link w:val="PlainTextChar"/>
    <w:uiPriority w:val="99"/>
    <w:semiHidden/>
    <w:unhideWhenUsed/>
    <w:rsid w:val="005C0C0B"/>
    <w:rPr>
      <w:rFonts w:ascii="Consolas" w:hAnsi="Consolas" w:cs="Consolas"/>
      <w:sz w:val="21"/>
      <w:szCs w:val="21"/>
    </w:rPr>
  </w:style>
  <w:style w:type="character" w:customStyle="1" w:styleId="PlainTextChar">
    <w:name w:val="Plain Text Char"/>
    <w:basedOn w:val="DefaultParagraphFont"/>
    <w:link w:val="PlainText"/>
    <w:uiPriority w:val="99"/>
    <w:semiHidden/>
    <w:rsid w:val="005C0C0B"/>
    <w:rPr>
      <w:rFonts w:ascii="Consolas" w:hAnsi="Consolas" w:cs="Consolas"/>
      <w:sz w:val="21"/>
      <w:szCs w:val="21"/>
    </w:rPr>
  </w:style>
  <w:style w:type="paragraph" w:styleId="Header">
    <w:name w:val="header"/>
    <w:basedOn w:val="Normal"/>
    <w:link w:val="HeaderChar"/>
    <w:uiPriority w:val="99"/>
    <w:unhideWhenUsed/>
    <w:rsid w:val="00181542"/>
    <w:pPr>
      <w:tabs>
        <w:tab w:val="center" w:pos="4680"/>
        <w:tab w:val="right" w:pos="9360"/>
      </w:tabs>
    </w:pPr>
  </w:style>
  <w:style w:type="character" w:customStyle="1" w:styleId="HeaderChar">
    <w:name w:val="Header Char"/>
    <w:basedOn w:val="DefaultParagraphFont"/>
    <w:link w:val="Header"/>
    <w:uiPriority w:val="99"/>
    <w:rsid w:val="00181542"/>
    <w:rPr>
      <w:rFonts w:cs="Cambria"/>
      <w:sz w:val="24"/>
      <w:szCs w:val="24"/>
    </w:rPr>
  </w:style>
  <w:style w:type="paragraph" w:styleId="Footer">
    <w:name w:val="footer"/>
    <w:basedOn w:val="Normal"/>
    <w:link w:val="FooterChar"/>
    <w:uiPriority w:val="99"/>
    <w:unhideWhenUsed/>
    <w:rsid w:val="00181542"/>
    <w:pPr>
      <w:tabs>
        <w:tab w:val="center" w:pos="4680"/>
        <w:tab w:val="right" w:pos="9360"/>
      </w:tabs>
    </w:pPr>
  </w:style>
  <w:style w:type="character" w:customStyle="1" w:styleId="FooterChar">
    <w:name w:val="Footer Char"/>
    <w:basedOn w:val="DefaultParagraphFont"/>
    <w:link w:val="Footer"/>
    <w:uiPriority w:val="99"/>
    <w:rsid w:val="00181542"/>
    <w:rPr>
      <w:rFonts w:cs="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D6"/>
    <w:rPr>
      <w:rFonts w:cs="Cambria"/>
      <w:sz w:val="24"/>
      <w:szCs w:val="24"/>
    </w:rPr>
  </w:style>
  <w:style w:type="paragraph" w:styleId="Heading2">
    <w:name w:val="heading 2"/>
    <w:basedOn w:val="Normal"/>
    <w:link w:val="Heading2Char"/>
    <w:uiPriority w:val="9"/>
    <w:qFormat/>
    <w:rsid w:val="006B5689"/>
    <w:pPr>
      <w:spacing w:before="100" w:beforeAutospacing="1" w:after="100" w:afterAutospacing="1"/>
      <w:outlineLvl w:val="1"/>
    </w:pPr>
    <w:rPr>
      <w:rFonts w:ascii="Times" w:eastAsiaTheme="minorEastAsia"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
    <w:name w:val="Action"/>
    <w:basedOn w:val="Normal"/>
    <w:uiPriority w:val="99"/>
    <w:rPr>
      <w:b/>
      <w:bCs/>
      <w:color w:val="C0504D"/>
    </w:rPr>
  </w:style>
  <w:style w:type="paragraph" w:styleId="ListParagraph">
    <w:name w:val="List Paragraph"/>
    <w:basedOn w:val="Normal"/>
    <w:uiPriority w:val="34"/>
    <w:qFormat/>
    <w:pPr>
      <w:ind w:left="720"/>
      <w:contextualSpacing/>
    </w:pPr>
  </w:style>
  <w:style w:type="paragraph" w:styleId="EndnoteText">
    <w:name w:val="endnote text"/>
    <w:basedOn w:val="Normal"/>
    <w:link w:val="EndnoteTextChar"/>
    <w:uiPriority w:val="99"/>
    <w:semiHidden/>
    <w:rsid w:val="000E13D6"/>
    <w:pPr>
      <w:spacing w:before="120"/>
      <w:ind w:left="284" w:hanging="284"/>
    </w:pPr>
    <w:rPr>
      <w:rFonts w:asciiTheme="minorHAnsi" w:hAnsiTheme="minorHAnsi"/>
      <w:sz w:val="20"/>
    </w:rPr>
  </w:style>
  <w:style w:type="character" w:customStyle="1" w:styleId="EndnoteTextChar">
    <w:name w:val="Endnote Text Char"/>
    <w:basedOn w:val="DefaultParagraphFont"/>
    <w:link w:val="EndnoteText"/>
    <w:uiPriority w:val="99"/>
    <w:semiHidden/>
    <w:rsid w:val="000E13D6"/>
    <w:rPr>
      <w:rFonts w:asciiTheme="minorHAnsi" w:hAnsiTheme="minorHAnsi" w:cs="Cambria"/>
      <w:sz w:val="20"/>
      <w:szCs w:val="24"/>
    </w:rPr>
  </w:style>
  <w:style w:type="character" w:styleId="EndnoteReference">
    <w:name w:val="endnote reference"/>
    <w:basedOn w:val="DefaultParagraphFont"/>
    <w:uiPriority w:val="99"/>
    <w:semiHidden/>
    <w:rPr>
      <w:vertAlign w:val="superscript"/>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rPr>
      <w:sz w:val="18"/>
      <w:szCs w:val="18"/>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Revision">
    <w:name w:val="Revision"/>
    <w:hidden/>
    <w:uiPriority w:val="99"/>
    <w:semiHidden/>
    <w:rsid w:val="009E43A1"/>
    <w:rPr>
      <w:rFonts w:cs="Cambria"/>
      <w:sz w:val="24"/>
      <w:szCs w:val="24"/>
    </w:rPr>
  </w:style>
  <w:style w:type="character" w:customStyle="1" w:styleId="ovitalic">
    <w:name w:val="ovitalic"/>
    <w:basedOn w:val="DefaultParagraphFont"/>
    <w:rsid w:val="00645270"/>
  </w:style>
  <w:style w:type="paragraph" w:styleId="FootnoteText">
    <w:name w:val="footnote text"/>
    <w:basedOn w:val="Normal"/>
    <w:link w:val="FootnoteTextChar"/>
    <w:uiPriority w:val="99"/>
    <w:unhideWhenUsed/>
    <w:rsid w:val="00C317FC"/>
    <w:rPr>
      <w:sz w:val="20"/>
      <w:szCs w:val="20"/>
    </w:rPr>
  </w:style>
  <w:style w:type="character" w:customStyle="1" w:styleId="FootnoteTextChar">
    <w:name w:val="Footnote Text Char"/>
    <w:basedOn w:val="DefaultParagraphFont"/>
    <w:link w:val="FootnoteText"/>
    <w:uiPriority w:val="99"/>
    <w:rsid w:val="00C317FC"/>
    <w:rPr>
      <w:rFonts w:cs="Cambria"/>
      <w:sz w:val="20"/>
      <w:szCs w:val="20"/>
    </w:rPr>
  </w:style>
  <w:style w:type="character" w:styleId="FootnoteReference">
    <w:name w:val="footnote reference"/>
    <w:basedOn w:val="DefaultParagraphFont"/>
    <w:uiPriority w:val="99"/>
    <w:unhideWhenUsed/>
    <w:rsid w:val="00C317FC"/>
    <w:rPr>
      <w:vertAlign w:val="superscript"/>
    </w:rPr>
  </w:style>
  <w:style w:type="character" w:customStyle="1" w:styleId="Heading2Char">
    <w:name w:val="Heading 2 Char"/>
    <w:basedOn w:val="DefaultParagraphFont"/>
    <w:link w:val="Heading2"/>
    <w:uiPriority w:val="9"/>
    <w:rsid w:val="006B5689"/>
    <w:rPr>
      <w:rFonts w:ascii="Times" w:eastAsiaTheme="minorEastAsia" w:hAnsi="Times" w:cstheme="minorBidi"/>
      <w:b/>
      <w:bCs/>
      <w:sz w:val="36"/>
      <w:szCs w:val="36"/>
    </w:rPr>
  </w:style>
  <w:style w:type="character" w:styleId="Emphasis">
    <w:name w:val="Emphasis"/>
    <w:basedOn w:val="DefaultParagraphFont"/>
    <w:uiPriority w:val="20"/>
    <w:qFormat/>
    <w:rsid w:val="009B7E1F"/>
    <w:rPr>
      <w:i/>
      <w:iCs/>
    </w:rPr>
  </w:style>
  <w:style w:type="paragraph" w:styleId="PlainText">
    <w:name w:val="Plain Text"/>
    <w:basedOn w:val="Normal"/>
    <w:link w:val="PlainTextChar"/>
    <w:uiPriority w:val="99"/>
    <w:semiHidden/>
    <w:unhideWhenUsed/>
    <w:rsid w:val="005C0C0B"/>
    <w:rPr>
      <w:rFonts w:ascii="Consolas" w:hAnsi="Consolas" w:cs="Consolas"/>
      <w:sz w:val="21"/>
      <w:szCs w:val="21"/>
    </w:rPr>
  </w:style>
  <w:style w:type="character" w:customStyle="1" w:styleId="PlainTextChar">
    <w:name w:val="Plain Text Char"/>
    <w:basedOn w:val="DefaultParagraphFont"/>
    <w:link w:val="PlainText"/>
    <w:uiPriority w:val="99"/>
    <w:semiHidden/>
    <w:rsid w:val="005C0C0B"/>
    <w:rPr>
      <w:rFonts w:ascii="Consolas" w:hAnsi="Consolas" w:cs="Consolas"/>
      <w:sz w:val="21"/>
      <w:szCs w:val="21"/>
    </w:rPr>
  </w:style>
  <w:style w:type="paragraph" w:styleId="Header">
    <w:name w:val="header"/>
    <w:basedOn w:val="Normal"/>
    <w:link w:val="HeaderChar"/>
    <w:uiPriority w:val="99"/>
    <w:unhideWhenUsed/>
    <w:rsid w:val="00181542"/>
    <w:pPr>
      <w:tabs>
        <w:tab w:val="center" w:pos="4680"/>
        <w:tab w:val="right" w:pos="9360"/>
      </w:tabs>
    </w:pPr>
  </w:style>
  <w:style w:type="character" w:customStyle="1" w:styleId="HeaderChar">
    <w:name w:val="Header Char"/>
    <w:basedOn w:val="DefaultParagraphFont"/>
    <w:link w:val="Header"/>
    <w:uiPriority w:val="99"/>
    <w:rsid w:val="00181542"/>
    <w:rPr>
      <w:rFonts w:cs="Cambria"/>
      <w:sz w:val="24"/>
      <w:szCs w:val="24"/>
    </w:rPr>
  </w:style>
  <w:style w:type="paragraph" w:styleId="Footer">
    <w:name w:val="footer"/>
    <w:basedOn w:val="Normal"/>
    <w:link w:val="FooterChar"/>
    <w:uiPriority w:val="99"/>
    <w:unhideWhenUsed/>
    <w:rsid w:val="00181542"/>
    <w:pPr>
      <w:tabs>
        <w:tab w:val="center" w:pos="4680"/>
        <w:tab w:val="right" w:pos="9360"/>
      </w:tabs>
    </w:pPr>
  </w:style>
  <w:style w:type="character" w:customStyle="1" w:styleId="FooterChar">
    <w:name w:val="Footer Char"/>
    <w:basedOn w:val="DefaultParagraphFont"/>
    <w:link w:val="Footer"/>
    <w:uiPriority w:val="99"/>
    <w:rsid w:val="00181542"/>
    <w:rPr>
      <w:rFonts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5484">
      <w:bodyDiv w:val="1"/>
      <w:marLeft w:val="0"/>
      <w:marRight w:val="0"/>
      <w:marTop w:val="0"/>
      <w:marBottom w:val="0"/>
      <w:divBdr>
        <w:top w:val="none" w:sz="0" w:space="0" w:color="auto"/>
        <w:left w:val="none" w:sz="0" w:space="0" w:color="auto"/>
        <w:bottom w:val="none" w:sz="0" w:space="0" w:color="auto"/>
        <w:right w:val="none" w:sz="0" w:space="0" w:color="auto"/>
      </w:divBdr>
    </w:div>
    <w:div w:id="844634549">
      <w:bodyDiv w:val="1"/>
      <w:marLeft w:val="0"/>
      <w:marRight w:val="0"/>
      <w:marTop w:val="0"/>
      <w:marBottom w:val="0"/>
      <w:divBdr>
        <w:top w:val="none" w:sz="0" w:space="0" w:color="auto"/>
        <w:left w:val="none" w:sz="0" w:space="0" w:color="auto"/>
        <w:bottom w:val="none" w:sz="0" w:space="0" w:color="auto"/>
        <w:right w:val="none" w:sz="0" w:space="0" w:color="auto"/>
      </w:divBdr>
    </w:div>
    <w:div w:id="929001602">
      <w:bodyDiv w:val="1"/>
      <w:marLeft w:val="0"/>
      <w:marRight w:val="0"/>
      <w:marTop w:val="0"/>
      <w:marBottom w:val="0"/>
      <w:divBdr>
        <w:top w:val="none" w:sz="0" w:space="0" w:color="auto"/>
        <w:left w:val="none" w:sz="0" w:space="0" w:color="auto"/>
        <w:bottom w:val="none" w:sz="0" w:space="0" w:color="auto"/>
        <w:right w:val="none" w:sz="0" w:space="0" w:color="auto"/>
      </w:divBdr>
    </w:div>
    <w:div w:id="1088309306">
      <w:bodyDiv w:val="1"/>
      <w:marLeft w:val="0"/>
      <w:marRight w:val="0"/>
      <w:marTop w:val="0"/>
      <w:marBottom w:val="0"/>
      <w:divBdr>
        <w:top w:val="none" w:sz="0" w:space="0" w:color="auto"/>
        <w:left w:val="none" w:sz="0" w:space="0" w:color="auto"/>
        <w:bottom w:val="none" w:sz="0" w:space="0" w:color="auto"/>
        <w:right w:val="none" w:sz="0" w:space="0" w:color="auto"/>
      </w:divBdr>
    </w:div>
    <w:div w:id="1928726860">
      <w:bodyDiv w:val="1"/>
      <w:marLeft w:val="0"/>
      <w:marRight w:val="0"/>
      <w:marTop w:val="0"/>
      <w:marBottom w:val="0"/>
      <w:divBdr>
        <w:top w:val="none" w:sz="0" w:space="0" w:color="auto"/>
        <w:left w:val="none" w:sz="0" w:space="0" w:color="auto"/>
        <w:bottom w:val="none" w:sz="0" w:space="0" w:color="auto"/>
        <w:right w:val="none" w:sz="0" w:space="0" w:color="auto"/>
      </w:divBdr>
    </w:div>
    <w:div w:id="19921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endnotes.xml.rels><?xml version="1.0" encoding="UTF-8" standalone="yes"?>
<Relationships xmlns="http://schemas.openxmlformats.org/package/2006/relationships"><Relationship Id="rId8" Type="http://schemas.openxmlformats.org/officeDocument/2006/relationships/hyperlink" Target="http://www.evergreen.ca/docs/res/Grounds-For-Action.pdf" TargetMode="External"/><Relationship Id="rId3" Type="http://schemas.openxmlformats.org/officeDocument/2006/relationships/hyperlink" Target="http://www.cahpf.org/GoDocUserFiles/504.Farm_to_School_Programs.pdf" TargetMode="External"/><Relationship Id="rId7" Type="http://schemas.openxmlformats.org/officeDocument/2006/relationships/hyperlink" Target="http://www.hc-sc.gc.ca/fn-an/nutrition/child-enfant/cfps-acc-synthes-eng.php" TargetMode="External"/><Relationship Id="rId2" Type="http://schemas.openxmlformats.org/officeDocument/2006/relationships/hyperlink" Target="http://www.health.gov.on.ca/en/common/ministry/publications/reports/healthy_kids/healthy_kids.pdf" TargetMode="External"/><Relationship Id="rId1" Type="http://schemas.openxmlformats.org/officeDocument/2006/relationships/hyperlink" Target="http://www.health.gov.on.ca/en/common/ministry/publications/reports/healthy_kids/healthy_kids.pdf" TargetMode="External"/><Relationship Id="rId6" Type="http://schemas.openxmlformats.org/officeDocument/2006/relationships/hyperlink" Target="http://www.hc-sc.gc.ca/fn-an/nutrition/child-enfant/cfps-acc-synthes-eng.php" TargetMode="External"/><Relationship Id="rId5" Type="http://schemas.openxmlformats.org/officeDocument/2006/relationships/hyperlink" Target="http://www.osnp.ca/menu.php?list=595&amp;page=135" TargetMode="External"/><Relationship Id="rId10" Type="http://schemas.openxmlformats.org/officeDocument/2006/relationships/hyperlink" Target="http://sustainontario.com/initiatives/ontario-food-and-nutrition-strategy" TargetMode="External"/><Relationship Id="rId4" Type="http://schemas.openxmlformats.org/officeDocument/2006/relationships/hyperlink" Target="http://www.osnp.ca/menu.php?list=595&amp;page=135" TargetMode="External"/><Relationship Id="rId9" Type="http://schemas.openxmlformats.org/officeDocument/2006/relationships/hyperlink" Target="http://www.vsb.bc.ca/district-policy/io-garde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7DE2C-F184-464D-A289-80C4994B5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Cancer Care Ontario</Company>
  <LinksUpToDate>false</LinksUpToDate>
  <CharactersWithSpaces>16695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Avalon Jennings</dc:creator>
  <cp:lastModifiedBy>Carolyn Webb</cp:lastModifiedBy>
  <cp:revision>12</cp:revision>
  <cp:lastPrinted>2013-10-23T17:31:00Z</cp:lastPrinted>
  <dcterms:created xsi:type="dcterms:W3CDTF">2013-10-18T02:53:00Z</dcterms:created>
  <dcterms:modified xsi:type="dcterms:W3CDTF">2013-10-25T19:36:00Z</dcterms:modified>
</cp:coreProperties>
</file>