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8F6" w:rsidRPr="00D038F6" w:rsidRDefault="00D038F6" w:rsidP="00D038F6">
      <w:pPr>
        <w:rPr>
          <w:rFonts w:asciiTheme="majorHAnsi" w:hAnsiTheme="majorHAnsi"/>
          <w:b/>
          <w:sz w:val="22"/>
        </w:rPr>
      </w:pPr>
      <w:r w:rsidRPr="00D038F6">
        <w:rPr>
          <w:rFonts w:asciiTheme="majorHAnsi" w:hAnsiTheme="majorHAnsi"/>
          <w:b/>
          <w:sz w:val="22"/>
        </w:rPr>
        <w:t>Re: Environmental Bill of Rights Registry Number 010-0766.</w:t>
      </w:r>
    </w:p>
    <w:p w:rsidR="00D038F6" w:rsidRPr="00D038F6" w:rsidRDefault="00D038F6" w:rsidP="00D038F6">
      <w:pPr>
        <w:rPr>
          <w:rFonts w:asciiTheme="majorHAnsi" w:hAnsiTheme="majorHAnsi"/>
          <w:sz w:val="22"/>
        </w:rPr>
      </w:pPr>
      <w:r w:rsidRPr="00D038F6">
        <w:rPr>
          <w:rFonts w:asciiTheme="majorHAnsi" w:hAnsiTheme="majorHAnsi"/>
          <w:sz w:val="22"/>
        </w:rPr>
        <w:t>c/o Kyle MacIntyre, Team Lead</w:t>
      </w:r>
      <w:r w:rsidRPr="00D038F6">
        <w:rPr>
          <w:rFonts w:asciiTheme="majorHAnsi" w:hAnsiTheme="majorHAnsi"/>
          <w:sz w:val="22"/>
        </w:rPr>
        <w:br/>
      </w:r>
      <w:r w:rsidRPr="00D038F6">
        <w:rPr>
          <w:rFonts w:asciiTheme="majorHAnsi" w:hAnsiTheme="majorHAnsi" w:cs="SwitzerlandCondensedPSMT"/>
          <w:iCs/>
          <w:sz w:val="22"/>
          <w:szCs w:val="20"/>
        </w:rPr>
        <w:t xml:space="preserve">Ministry of Municipal Affairs and Housing </w:t>
      </w:r>
      <w:r w:rsidRPr="00D038F6">
        <w:rPr>
          <w:rFonts w:asciiTheme="majorHAnsi" w:hAnsiTheme="majorHAnsi"/>
          <w:sz w:val="22"/>
        </w:rPr>
        <w:br/>
      </w:r>
      <w:r w:rsidRPr="00D038F6">
        <w:rPr>
          <w:rFonts w:asciiTheme="majorHAnsi" w:hAnsiTheme="majorHAnsi" w:cs="SwitzerlandCondensedPSMT"/>
          <w:iCs/>
          <w:sz w:val="22"/>
          <w:szCs w:val="20"/>
        </w:rPr>
        <w:t>Provincial Planning Policy Branch</w:t>
      </w:r>
      <w:r w:rsidRPr="00D038F6">
        <w:rPr>
          <w:rFonts w:asciiTheme="majorHAnsi" w:hAnsiTheme="majorHAnsi"/>
          <w:sz w:val="22"/>
        </w:rPr>
        <w:br/>
      </w:r>
      <w:r w:rsidRPr="00D038F6">
        <w:rPr>
          <w:rFonts w:asciiTheme="majorHAnsi" w:hAnsiTheme="majorHAnsi" w:cs="SwitzerlandCondensedPSMT"/>
          <w:iCs/>
          <w:sz w:val="22"/>
          <w:szCs w:val="20"/>
        </w:rPr>
        <w:t>777 Bay Street, 14th Floor</w:t>
      </w:r>
      <w:r w:rsidRPr="00D038F6">
        <w:rPr>
          <w:rFonts w:asciiTheme="majorHAnsi" w:hAnsiTheme="majorHAnsi"/>
          <w:sz w:val="22"/>
        </w:rPr>
        <w:br/>
      </w:r>
      <w:r w:rsidRPr="00D038F6">
        <w:rPr>
          <w:rFonts w:asciiTheme="majorHAnsi" w:hAnsiTheme="majorHAnsi" w:cs="SwitzerlandCondensedPSMT"/>
          <w:iCs/>
          <w:sz w:val="22"/>
          <w:szCs w:val="20"/>
        </w:rPr>
        <w:t>Toronto ON M5G 2E5</w:t>
      </w:r>
      <w:r w:rsidRPr="00D038F6">
        <w:rPr>
          <w:rFonts w:asciiTheme="majorHAnsi" w:hAnsiTheme="majorHAnsi"/>
          <w:sz w:val="22"/>
        </w:rPr>
        <w:br/>
      </w:r>
    </w:p>
    <w:p w:rsidR="00D038F6" w:rsidRPr="00D038F6" w:rsidRDefault="00D038F6" w:rsidP="00D038F6">
      <w:pPr>
        <w:rPr>
          <w:rFonts w:asciiTheme="majorHAnsi" w:hAnsiTheme="majorHAnsi"/>
          <w:b/>
          <w:sz w:val="22"/>
        </w:rPr>
      </w:pPr>
      <w:r w:rsidRPr="00D038F6">
        <w:rPr>
          <w:rFonts w:asciiTheme="majorHAnsi" w:hAnsiTheme="majorHAnsi"/>
          <w:b/>
          <w:sz w:val="22"/>
        </w:rPr>
        <w:t>Sustain Ontario: The Alliance for Healthy Food and Farming</w:t>
      </w:r>
    </w:p>
    <w:p w:rsidR="00D038F6" w:rsidRPr="00D038F6" w:rsidRDefault="00D038F6" w:rsidP="00D038F6">
      <w:pPr>
        <w:rPr>
          <w:rFonts w:asciiTheme="majorHAnsi" w:hAnsiTheme="majorHAnsi"/>
          <w:sz w:val="22"/>
        </w:rPr>
      </w:pPr>
      <w:r w:rsidRPr="00D038F6">
        <w:rPr>
          <w:rFonts w:asciiTheme="majorHAnsi" w:hAnsiTheme="majorHAnsi"/>
          <w:sz w:val="22"/>
        </w:rPr>
        <w:t>RE: Five-Year Review of the Provincial Policy Statement, 2005</w:t>
      </w:r>
    </w:p>
    <w:p w:rsidR="00D038F6" w:rsidRPr="00D038F6" w:rsidRDefault="00D038F6" w:rsidP="00D038F6">
      <w:pPr>
        <w:rPr>
          <w:rFonts w:asciiTheme="majorHAnsi" w:hAnsiTheme="majorHAnsi"/>
          <w:b/>
          <w:sz w:val="22"/>
        </w:rPr>
      </w:pPr>
      <w:r w:rsidRPr="00D038F6">
        <w:rPr>
          <w:rFonts w:asciiTheme="majorHAnsi" w:hAnsiTheme="majorHAnsi"/>
          <w:b/>
          <w:sz w:val="22"/>
        </w:rPr>
        <w:t>About Us:</w:t>
      </w:r>
      <w:r w:rsidRPr="00D038F6">
        <w:rPr>
          <w:rFonts w:asciiTheme="majorHAnsi" w:hAnsiTheme="majorHAnsi"/>
          <w:b/>
          <w:sz w:val="22"/>
        </w:rPr>
        <w:br/>
      </w:r>
      <w:r w:rsidRPr="00D038F6">
        <w:rPr>
          <w:rStyle w:val="Strong"/>
          <w:rFonts w:asciiTheme="majorHAnsi" w:hAnsiTheme="majorHAnsi"/>
          <w:b w:val="0"/>
          <w:sz w:val="22"/>
        </w:rPr>
        <w:t>Sustain Ontario</w:t>
      </w:r>
      <w:r w:rsidRPr="00D038F6">
        <w:rPr>
          <w:rFonts w:asciiTheme="majorHAnsi" w:hAnsiTheme="majorHAnsi"/>
          <w:sz w:val="22"/>
        </w:rPr>
        <w:t xml:space="preserve"> is a province-wide, cross-sectoral alliance that promotes healthy food and farming. Sustain Ontario takes a collaborative approach to research, policy development and action by addressing the intersecting issues related to healthy food and local sustainable agriculture. Sustain Ontario is working towards a food system that is healthy, ecological, equitable and financially viable. </w:t>
      </w:r>
      <w:r w:rsidRPr="00D038F6">
        <w:rPr>
          <w:rFonts w:asciiTheme="majorHAnsi" w:hAnsiTheme="majorHAnsi"/>
          <w:b/>
          <w:sz w:val="22"/>
        </w:rPr>
        <w:br/>
      </w:r>
      <w:r w:rsidRPr="00D038F6">
        <w:rPr>
          <w:rFonts w:asciiTheme="majorHAnsi" w:hAnsiTheme="majorHAnsi"/>
          <w:sz w:val="22"/>
        </w:rPr>
        <w:br/>
        <w:t xml:space="preserve">Sustain Ontario’s submission to the Provincial Policy Statement review process is a reflection of staff expertise in food systems planning, and does not represent the views of our diverse membership. Sustain Ontario supports the </w:t>
      </w:r>
      <w:r w:rsidRPr="00D038F6">
        <w:rPr>
          <w:rFonts w:asciiTheme="majorHAnsi" w:hAnsiTheme="majorHAnsi" w:cs="Arial"/>
          <w:bCs/>
          <w:i/>
          <w:color w:val="000000"/>
          <w:sz w:val="22"/>
          <w:szCs w:val="21"/>
        </w:rPr>
        <w:t>Submissions of Planning for Sustainability: A Provincial Policy Statement Collaborative</w:t>
      </w:r>
      <w:r w:rsidRPr="00D038F6">
        <w:rPr>
          <w:rFonts w:asciiTheme="majorHAnsi" w:hAnsiTheme="majorHAnsi" w:cs="Arial"/>
          <w:bCs/>
          <w:color w:val="000000"/>
          <w:sz w:val="22"/>
          <w:szCs w:val="21"/>
        </w:rPr>
        <w:t>. This submission makes further recommendations through the insertion of food systems planning considerations.</w:t>
      </w:r>
      <w:r w:rsidRPr="00D038F6">
        <w:rPr>
          <w:rFonts w:asciiTheme="majorHAnsi" w:hAnsiTheme="majorHAnsi"/>
          <w:b/>
          <w:sz w:val="22"/>
        </w:rPr>
        <w:br/>
      </w:r>
    </w:p>
    <w:p w:rsidR="00D038F6" w:rsidRPr="00D038F6" w:rsidRDefault="00D038F6" w:rsidP="00D038F6">
      <w:pPr>
        <w:rPr>
          <w:rFonts w:asciiTheme="majorHAnsi" w:hAnsiTheme="majorHAnsi"/>
          <w:b/>
          <w:sz w:val="22"/>
        </w:rPr>
      </w:pPr>
      <w:r w:rsidRPr="00D038F6">
        <w:rPr>
          <w:rFonts w:asciiTheme="majorHAnsi" w:hAnsiTheme="majorHAnsi"/>
          <w:b/>
          <w:sz w:val="22"/>
        </w:rPr>
        <w:t>Comments:</w:t>
      </w:r>
      <w:r w:rsidRPr="00D038F6">
        <w:rPr>
          <w:rFonts w:asciiTheme="majorHAnsi" w:hAnsiTheme="majorHAnsi"/>
          <w:b/>
          <w:sz w:val="22"/>
        </w:rPr>
        <w:br/>
      </w:r>
      <w:r w:rsidRPr="00D038F6">
        <w:rPr>
          <w:rFonts w:asciiTheme="majorHAnsi" w:hAnsiTheme="majorHAnsi"/>
          <w:sz w:val="22"/>
        </w:rPr>
        <w:t>The Provincial Policy Statement is an important document that outlines the vision for Ontario’s land use planning system. The long-term social wellbeing of Ontarians depends on effective guidance from the Province with respect to good planning principles. Within the PPS contains language regarding strong, liveable, and healthy communities.  We believe that a strong, liveable, and healthy community cannot be achieved without food system planning considerations. The Ontario Professional Planners Institute has increasingly noted the importance of planning for food to ensure agriculture viability and healthy communities. Several regions in Ontario have taken the initiative to support farm viability, access to fresh food retail/markets, community food initiatives, local food, urban agriculture, and farmers markets. The new updated PPS should reflect this growing interest in land use planning and policy that addresses food systems considerations.</w:t>
      </w:r>
    </w:p>
    <w:p w:rsidR="00D038F6" w:rsidRPr="00D038F6" w:rsidRDefault="00D038F6" w:rsidP="00D038F6">
      <w:pPr>
        <w:rPr>
          <w:rFonts w:asciiTheme="majorHAnsi" w:hAnsiTheme="majorHAnsi"/>
          <w:b/>
          <w:sz w:val="22"/>
        </w:rPr>
      </w:pPr>
      <w:r w:rsidRPr="00D038F6">
        <w:rPr>
          <w:rFonts w:asciiTheme="majorHAnsi" w:hAnsiTheme="majorHAnsi"/>
          <w:b/>
          <w:sz w:val="22"/>
        </w:rPr>
        <w:t>Revisions/Needed Update</w:t>
      </w:r>
    </w:p>
    <w:p w:rsidR="00D038F6" w:rsidRPr="00D038F6" w:rsidRDefault="00D038F6" w:rsidP="00D038F6">
      <w:pPr>
        <w:pBdr>
          <w:top w:val="single" w:sz="4" w:space="1" w:color="auto"/>
          <w:left w:val="single" w:sz="4" w:space="4" w:color="auto"/>
          <w:bottom w:val="single" w:sz="4" w:space="1" w:color="auto"/>
          <w:right w:val="single" w:sz="4" w:space="4" w:color="auto"/>
        </w:pBdr>
        <w:rPr>
          <w:rFonts w:asciiTheme="majorHAnsi" w:hAnsiTheme="majorHAnsi"/>
          <w:b/>
          <w:sz w:val="22"/>
        </w:rPr>
      </w:pPr>
      <w:r w:rsidRPr="00D038F6">
        <w:rPr>
          <w:rFonts w:asciiTheme="majorHAnsi" w:hAnsiTheme="majorHAnsi"/>
          <w:b/>
          <w:sz w:val="22"/>
        </w:rPr>
        <w:t>Clarification:</w:t>
      </w:r>
      <w:r w:rsidRPr="00D038F6">
        <w:rPr>
          <w:rFonts w:asciiTheme="majorHAnsi" w:hAnsiTheme="majorHAnsi"/>
          <w:b/>
          <w:sz w:val="22"/>
        </w:rPr>
        <w:br/>
      </w:r>
      <w:r w:rsidRPr="00D038F6">
        <w:rPr>
          <w:rFonts w:asciiTheme="majorHAnsi" w:hAnsiTheme="majorHAnsi"/>
          <w:b/>
          <w:sz w:val="22"/>
          <w:highlight w:val="yellow"/>
        </w:rPr>
        <w:t>Yellow and Bold: Considerations for revisions to be added in the text</w:t>
      </w:r>
      <w:r w:rsidRPr="00D038F6">
        <w:rPr>
          <w:rFonts w:asciiTheme="majorHAnsi" w:hAnsiTheme="majorHAnsi"/>
          <w:b/>
          <w:sz w:val="22"/>
        </w:rPr>
        <w:t xml:space="preserve"> </w:t>
      </w:r>
      <w:r w:rsidRPr="00D038F6">
        <w:rPr>
          <w:rFonts w:asciiTheme="majorHAnsi" w:hAnsiTheme="majorHAnsi"/>
          <w:b/>
          <w:sz w:val="22"/>
        </w:rPr>
        <w:br/>
      </w:r>
      <w:r w:rsidRPr="00D038F6">
        <w:rPr>
          <w:rFonts w:asciiTheme="majorHAnsi" w:hAnsiTheme="majorHAnsi"/>
          <w:b/>
          <w:sz w:val="22"/>
          <w:highlight w:val="cyan"/>
        </w:rPr>
        <w:t>Blue and Bold: General Comments and Feedback</w:t>
      </w:r>
    </w:p>
    <w:p w:rsidR="00D038F6" w:rsidRPr="00D038F6" w:rsidRDefault="00D038F6" w:rsidP="00D038F6">
      <w:pPr>
        <w:rPr>
          <w:rFonts w:asciiTheme="majorHAnsi" w:hAnsiTheme="majorHAnsi"/>
          <w:b/>
          <w:sz w:val="22"/>
        </w:rPr>
      </w:pPr>
      <w:r w:rsidRPr="00D038F6">
        <w:rPr>
          <w:rFonts w:asciiTheme="majorHAnsi" w:hAnsiTheme="majorHAnsi"/>
          <w:b/>
          <w:sz w:val="22"/>
        </w:rPr>
        <w:t>1. Page 2, Part IV: Vision for Ontario’s Land Use Planning System</w:t>
      </w:r>
    </w:p>
    <w:p w:rsidR="00D038F6" w:rsidRPr="00D038F6" w:rsidRDefault="00D038F6" w:rsidP="00D038F6">
      <w:pPr>
        <w:rPr>
          <w:rFonts w:asciiTheme="majorHAnsi" w:hAnsiTheme="majorHAnsi"/>
          <w:color w:val="000000"/>
          <w:sz w:val="22"/>
          <w:szCs w:val="23"/>
        </w:rPr>
      </w:pPr>
      <w:r w:rsidRPr="00D038F6">
        <w:rPr>
          <w:rFonts w:asciiTheme="majorHAnsi" w:hAnsiTheme="majorHAnsi"/>
          <w:color w:val="000000"/>
          <w:sz w:val="22"/>
          <w:szCs w:val="23"/>
        </w:rPr>
        <w:t xml:space="preserve">Efficient development patterns optimize the use of land, resources and public investment in infrastructure and public service facilities. These land use patterns promote a mix of housing, employment, parks, </w:t>
      </w:r>
      <w:r w:rsidRPr="00D038F6">
        <w:rPr>
          <w:rFonts w:asciiTheme="majorHAnsi" w:hAnsiTheme="majorHAnsi"/>
          <w:b/>
          <w:color w:val="000000"/>
          <w:sz w:val="22"/>
          <w:szCs w:val="23"/>
          <w:highlight w:val="yellow"/>
        </w:rPr>
        <w:t>farmland preservation, access to fresh food retail, community food initiatives</w:t>
      </w:r>
      <w:r w:rsidRPr="00D038F6">
        <w:rPr>
          <w:rFonts w:asciiTheme="majorHAnsi" w:hAnsiTheme="majorHAnsi"/>
          <w:b/>
          <w:color w:val="000000"/>
          <w:sz w:val="22"/>
          <w:szCs w:val="23"/>
        </w:rPr>
        <w:t>,</w:t>
      </w:r>
      <w:r w:rsidRPr="00D038F6">
        <w:rPr>
          <w:rFonts w:asciiTheme="majorHAnsi" w:hAnsiTheme="majorHAnsi"/>
          <w:color w:val="000000"/>
          <w:sz w:val="22"/>
          <w:szCs w:val="23"/>
        </w:rPr>
        <w:t xml:space="preserve"> open spaces and transportation choices that facilitate pedestrian mobility and other modes of travel. They also support the financial wellbeing of the Province and municipalities over the long term, and minimize the undesirable effects of development, including impacts on air, water, </w:t>
      </w:r>
      <w:r w:rsidRPr="00D038F6">
        <w:rPr>
          <w:rFonts w:asciiTheme="majorHAnsi" w:hAnsiTheme="majorHAnsi"/>
          <w:b/>
          <w:color w:val="000000"/>
          <w:sz w:val="22"/>
          <w:szCs w:val="23"/>
          <w:highlight w:val="yellow"/>
        </w:rPr>
        <w:t>farmland</w:t>
      </w:r>
      <w:r w:rsidRPr="00D038F6">
        <w:rPr>
          <w:rFonts w:asciiTheme="majorHAnsi" w:hAnsiTheme="majorHAnsi"/>
          <w:color w:val="000000"/>
          <w:sz w:val="22"/>
          <w:szCs w:val="23"/>
        </w:rPr>
        <w:t xml:space="preserve"> and other resources. Strong, liveable and healthy communities enhance social wellbeing and are economically and environmentally sound. </w:t>
      </w:r>
      <w:r w:rsidRPr="00D038F6">
        <w:rPr>
          <w:rFonts w:asciiTheme="majorHAnsi" w:hAnsiTheme="majorHAnsi"/>
          <w:color w:val="000000"/>
          <w:sz w:val="22"/>
          <w:szCs w:val="23"/>
        </w:rPr>
        <w:br/>
      </w:r>
    </w:p>
    <w:p w:rsidR="00D038F6" w:rsidRPr="00D038F6" w:rsidRDefault="00D038F6" w:rsidP="00D038F6">
      <w:pPr>
        <w:rPr>
          <w:rFonts w:asciiTheme="majorHAnsi" w:hAnsiTheme="majorHAnsi"/>
          <w:b/>
          <w:color w:val="000000"/>
          <w:sz w:val="22"/>
          <w:szCs w:val="23"/>
        </w:rPr>
      </w:pPr>
      <w:r w:rsidRPr="00D038F6">
        <w:rPr>
          <w:rFonts w:asciiTheme="majorHAnsi" w:hAnsiTheme="majorHAnsi"/>
          <w:b/>
          <w:color w:val="000000"/>
          <w:sz w:val="22"/>
          <w:szCs w:val="23"/>
        </w:rPr>
        <w:t>2.</w:t>
      </w:r>
      <w:r w:rsidRPr="00D038F6">
        <w:rPr>
          <w:rFonts w:asciiTheme="majorHAnsi" w:hAnsiTheme="majorHAnsi"/>
          <w:color w:val="000000"/>
          <w:sz w:val="22"/>
          <w:szCs w:val="23"/>
        </w:rPr>
        <w:t xml:space="preserve">  </w:t>
      </w:r>
      <w:r w:rsidRPr="00D038F6">
        <w:rPr>
          <w:rFonts w:asciiTheme="majorHAnsi" w:hAnsiTheme="majorHAnsi"/>
          <w:b/>
          <w:color w:val="000000"/>
          <w:sz w:val="22"/>
          <w:szCs w:val="23"/>
        </w:rPr>
        <w:t>Page 4, under 1.1.1 Managing and Directing Land Use to Achieve Efficient Development and Land use Patterns.</w:t>
      </w:r>
    </w:p>
    <w:p w:rsidR="00D038F6" w:rsidRPr="00D038F6" w:rsidRDefault="00D038F6" w:rsidP="00D038F6">
      <w:pPr>
        <w:pStyle w:val="level1"/>
        <w:ind w:left="900" w:hanging="900"/>
        <w:rPr>
          <w:rFonts w:asciiTheme="majorHAnsi" w:hAnsiTheme="majorHAnsi"/>
          <w:color w:val="000000"/>
          <w:sz w:val="22"/>
          <w:szCs w:val="23"/>
        </w:rPr>
      </w:pPr>
      <w:r w:rsidRPr="00D038F6">
        <w:rPr>
          <w:rFonts w:asciiTheme="majorHAnsi" w:hAnsiTheme="majorHAnsi"/>
          <w:color w:val="000000"/>
          <w:sz w:val="22"/>
          <w:szCs w:val="23"/>
        </w:rPr>
        <w:t xml:space="preserve">1.1.1 Healthy, liveable and safe communities are sustained by: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 xml:space="preserve">a) promoting efficient development and land use patterns which sustain the financial well being of the Province and municipalities over the long term;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 xml:space="preserve">b) accommodating an appropriate range and mix of residential, employment (including industrial, commercial, </w:t>
      </w:r>
      <w:r w:rsidRPr="00D038F6">
        <w:rPr>
          <w:rFonts w:asciiTheme="majorHAnsi" w:hAnsiTheme="majorHAnsi"/>
          <w:b/>
          <w:color w:val="000000"/>
          <w:sz w:val="22"/>
          <w:szCs w:val="23"/>
          <w:highlight w:val="yellow"/>
        </w:rPr>
        <w:t>agricultural/urban agricultural</w:t>
      </w:r>
      <w:r w:rsidRPr="00D038F6">
        <w:rPr>
          <w:rFonts w:asciiTheme="majorHAnsi" w:hAnsiTheme="majorHAnsi"/>
          <w:color w:val="000000"/>
          <w:sz w:val="22"/>
          <w:szCs w:val="23"/>
        </w:rPr>
        <w:t xml:space="preserve">, and institutional uses), </w:t>
      </w:r>
      <w:r w:rsidRPr="00D038F6">
        <w:rPr>
          <w:rFonts w:asciiTheme="majorHAnsi" w:hAnsiTheme="majorHAnsi"/>
          <w:b/>
          <w:color w:val="000000"/>
          <w:sz w:val="22"/>
          <w:szCs w:val="23"/>
          <w:highlight w:val="yellow"/>
        </w:rPr>
        <w:t>fresh food retail</w:t>
      </w:r>
      <w:r w:rsidRPr="00D038F6">
        <w:rPr>
          <w:rFonts w:asciiTheme="majorHAnsi" w:hAnsiTheme="majorHAnsi"/>
          <w:color w:val="000000"/>
          <w:sz w:val="22"/>
          <w:szCs w:val="23"/>
        </w:rPr>
        <w:t xml:space="preserve">, recreational and open space uses to meet long-term needs; </w:t>
      </w:r>
    </w:p>
    <w:p w:rsidR="00D038F6" w:rsidRPr="00D038F6" w:rsidRDefault="00D038F6" w:rsidP="00D038F6">
      <w:pPr>
        <w:pStyle w:val="level1"/>
        <w:rPr>
          <w:rFonts w:asciiTheme="majorHAnsi" w:hAnsiTheme="majorHAnsi"/>
          <w:b/>
          <w:color w:val="000000"/>
          <w:sz w:val="22"/>
          <w:szCs w:val="23"/>
        </w:rPr>
      </w:pPr>
      <w:r w:rsidRPr="00D038F6">
        <w:rPr>
          <w:rFonts w:asciiTheme="majorHAnsi" w:hAnsiTheme="majorHAnsi"/>
          <w:color w:val="000000"/>
          <w:sz w:val="22"/>
          <w:szCs w:val="23"/>
        </w:rPr>
        <w:t xml:space="preserve">c) avoiding development and land use patterns which may cause environmental or public health and safety concerns </w:t>
      </w:r>
      <w:r w:rsidRPr="00D038F6">
        <w:rPr>
          <w:rFonts w:asciiTheme="majorHAnsi" w:hAnsiTheme="majorHAnsi"/>
          <w:b/>
          <w:color w:val="000000"/>
          <w:sz w:val="22"/>
          <w:szCs w:val="23"/>
          <w:highlight w:val="yellow"/>
        </w:rPr>
        <w:t>including development on prime agricultural farmland;</w:t>
      </w:r>
      <w:r w:rsidRPr="00D038F6">
        <w:rPr>
          <w:rFonts w:asciiTheme="majorHAnsi" w:hAnsiTheme="majorHAnsi"/>
          <w:b/>
          <w:color w:val="000000"/>
          <w:sz w:val="22"/>
          <w:szCs w:val="23"/>
        </w:rPr>
        <w:t xml:space="preserve">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d)</w:t>
      </w:r>
      <w:r w:rsidRPr="00D038F6">
        <w:rPr>
          <w:rFonts w:asciiTheme="majorHAnsi" w:hAnsiTheme="majorHAnsi"/>
          <w:b/>
          <w:color w:val="000000"/>
          <w:sz w:val="22"/>
          <w:szCs w:val="23"/>
        </w:rPr>
        <w:t xml:space="preserve"> </w:t>
      </w:r>
      <w:r w:rsidRPr="00D038F6">
        <w:rPr>
          <w:rFonts w:asciiTheme="majorHAnsi" w:hAnsiTheme="majorHAnsi"/>
          <w:color w:val="000000"/>
          <w:sz w:val="22"/>
          <w:szCs w:val="23"/>
        </w:rPr>
        <w:t xml:space="preserve">avoiding development and land use patterns that would prevent the efficient expansion of </w:t>
      </w:r>
      <w:r w:rsidRPr="00D038F6">
        <w:rPr>
          <w:rFonts w:asciiTheme="majorHAnsi" w:hAnsiTheme="majorHAnsi"/>
          <w:i/>
          <w:iCs/>
          <w:color w:val="000000"/>
          <w:sz w:val="22"/>
          <w:szCs w:val="23"/>
        </w:rPr>
        <w:t xml:space="preserve">settlement areas </w:t>
      </w:r>
      <w:r w:rsidRPr="00D038F6">
        <w:rPr>
          <w:rFonts w:asciiTheme="majorHAnsi" w:hAnsiTheme="majorHAnsi"/>
          <w:color w:val="000000"/>
          <w:sz w:val="22"/>
          <w:szCs w:val="23"/>
        </w:rPr>
        <w:t xml:space="preserve">in those areas which are adjacent or close to </w:t>
      </w:r>
      <w:r w:rsidRPr="00D038F6">
        <w:rPr>
          <w:rFonts w:asciiTheme="majorHAnsi" w:hAnsiTheme="majorHAnsi"/>
          <w:i/>
          <w:iCs/>
          <w:color w:val="000000"/>
          <w:sz w:val="22"/>
          <w:szCs w:val="23"/>
        </w:rPr>
        <w:t>settlement areas</w:t>
      </w:r>
      <w:r w:rsidRPr="00D038F6">
        <w:rPr>
          <w:rFonts w:asciiTheme="majorHAnsi" w:hAnsiTheme="majorHAnsi"/>
          <w:color w:val="000000"/>
          <w:sz w:val="22"/>
          <w:szCs w:val="23"/>
        </w:rPr>
        <w:t xml:space="preserve">;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 xml:space="preserve">e) promoting cost-effective development standards to minimize land consumption and servicing costs;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 xml:space="preserve">f) improving accessibility for persons with disabilities and the elderly by removing and/or preventing land use barriers which restrict their full participation in society; and </w:t>
      </w:r>
    </w:p>
    <w:p w:rsidR="00D038F6" w:rsidRPr="00D038F6" w:rsidRDefault="00D038F6" w:rsidP="00D038F6">
      <w:pPr>
        <w:pStyle w:val="level1"/>
        <w:rPr>
          <w:rFonts w:asciiTheme="majorHAnsi" w:hAnsiTheme="majorHAnsi"/>
          <w:color w:val="000000"/>
          <w:sz w:val="22"/>
          <w:szCs w:val="23"/>
        </w:rPr>
      </w:pPr>
      <w:r w:rsidRPr="00D038F6">
        <w:rPr>
          <w:rFonts w:asciiTheme="majorHAnsi" w:hAnsiTheme="majorHAnsi"/>
          <w:color w:val="000000"/>
          <w:sz w:val="22"/>
          <w:szCs w:val="23"/>
        </w:rPr>
        <w:t xml:space="preserve">g) ensuring that necessary </w:t>
      </w:r>
      <w:r w:rsidRPr="00D038F6">
        <w:rPr>
          <w:rFonts w:asciiTheme="majorHAnsi" w:hAnsiTheme="majorHAnsi"/>
          <w:i/>
          <w:iCs/>
          <w:color w:val="000000"/>
          <w:sz w:val="22"/>
          <w:szCs w:val="23"/>
        </w:rPr>
        <w:t xml:space="preserve">infrastructure </w:t>
      </w:r>
      <w:r w:rsidRPr="00D038F6">
        <w:rPr>
          <w:rFonts w:asciiTheme="majorHAnsi" w:hAnsiTheme="majorHAnsi"/>
          <w:color w:val="000000"/>
          <w:sz w:val="22"/>
          <w:szCs w:val="23"/>
        </w:rPr>
        <w:t xml:space="preserve">and </w:t>
      </w:r>
      <w:r w:rsidRPr="00D038F6">
        <w:rPr>
          <w:rFonts w:asciiTheme="majorHAnsi" w:hAnsiTheme="majorHAnsi"/>
          <w:i/>
          <w:iCs/>
          <w:color w:val="000000"/>
          <w:sz w:val="22"/>
          <w:szCs w:val="23"/>
        </w:rPr>
        <w:t xml:space="preserve">public service facilities </w:t>
      </w:r>
      <w:r w:rsidRPr="00D038F6">
        <w:rPr>
          <w:rFonts w:asciiTheme="majorHAnsi" w:hAnsiTheme="majorHAnsi"/>
          <w:color w:val="000000"/>
          <w:sz w:val="22"/>
          <w:szCs w:val="23"/>
        </w:rPr>
        <w:t>are or will be available to meet current and projected needs;</w:t>
      </w:r>
    </w:p>
    <w:p w:rsidR="00D038F6" w:rsidRPr="00D038F6" w:rsidRDefault="00D038F6" w:rsidP="00D038F6">
      <w:pPr>
        <w:rPr>
          <w:rFonts w:asciiTheme="majorHAnsi" w:hAnsiTheme="majorHAnsi"/>
          <w:b/>
          <w:i/>
          <w:sz w:val="22"/>
        </w:rPr>
      </w:pPr>
      <w:r w:rsidRPr="00D038F6">
        <w:rPr>
          <w:rFonts w:asciiTheme="majorHAnsi" w:hAnsiTheme="majorHAnsi"/>
          <w:b/>
          <w:sz w:val="22"/>
          <w:highlight w:val="yellow"/>
        </w:rPr>
        <w:t xml:space="preserve">h) </w:t>
      </w:r>
      <w:r w:rsidRPr="00D038F6">
        <w:rPr>
          <w:rFonts w:asciiTheme="majorHAnsi" w:hAnsiTheme="majorHAnsi"/>
          <w:b/>
          <w:i/>
          <w:sz w:val="22"/>
          <w:highlight w:val="yellow"/>
        </w:rPr>
        <w:t>improving accessibility to healthy food by including land use patterns that allow for various forms of food retail (including small &amp; large scale grocery stores, community gardens and farmers markets);</w:t>
      </w:r>
      <w:r w:rsidRPr="00D038F6">
        <w:rPr>
          <w:rFonts w:asciiTheme="majorHAnsi" w:hAnsiTheme="majorHAnsi"/>
          <w:b/>
          <w:i/>
          <w:sz w:val="22"/>
        </w:rPr>
        <w:br/>
      </w:r>
      <w:r w:rsidRPr="00D038F6">
        <w:rPr>
          <w:rFonts w:asciiTheme="majorHAnsi" w:hAnsiTheme="majorHAnsi" w:cs="Times New Roman"/>
          <w:color w:val="000000"/>
          <w:sz w:val="22"/>
          <w:szCs w:val="23"/>
        </w:rPr>
        <w:br/>
      </w:r>
      <w:r w:rsidRPr="00D038F6">
        <w:rPr>
          <w:rFonts w:asciiTheme="majorHAnsi" w:hAnsiTheme="majorHAnsi" w:cs="Times New Roman"/>
          <w:b/>
          <w:color w:val="000000"/>
          <w:sz w:val="22"/>
          <w:szCs w:val="23"/>
        </w:rPr>
        <w:t>4.  Page 6, under section 1.1.3.9</w:t>
      </w:r>
    </w:p>
    <w:p w:rsidR="00D038F6" w:rsidRPr="00D038F6" w:rsidRDefault="00D038F6" w:rsidP="00D038F6">
      <w:pPr>
        <w:rPr>
          <w:rFonts w:asciiTheme="majorHAnsi" w:hAnsiTheme="majorHAnsi"/>
          <w:b/>
          <w:color w:val="000000"/>
          <w:sz w:val="22"/>
          <w:szCs w:val="23"/>
        </w:rPr>
      </w:pPr>
      <w:r w:rsidRPr="00D038F6">
        <w:rPr>
          <w:rFonts w:asciiTheme="majorHAnsi" w:hAnsiTheme="majorHAnsi"/>
          <w:b/>
          <w:color w:val="000000"/>
          <w:sz w:val="22"/>
          <w:szCs w:val="23"/>
          <w:highlight w:val="cyan"/>
        </w:rPr>
        <w:t>The Province should reconsider population growth targets in counties/towns with significant prime agricultural areas. For example, in the town of Caledon, planners and politicians must choose to develop on what is referred to as “the least prime” of the prime agricultural land.</w:t>
      </w:r>
    </w:p>
    <w:p w:rsidR="00D038F6" w:rsidRPr="00D038F6" w:rsidRDefault="00D038F6" w:rsidP="00D038F6">
      <w:pPr>
        <w:rPr>
          <w:rFonts w:asciiTheme="majorHAnsi" w:hAnsiTheme="majorHAnsi"/>
          <w:b/>
          <w:color w:val="000000"/>
          <w:sz w:val="22"/>
          <w:szCs w:val="23"/>
        </w:rPr>
      </w:pPr>
      <w:r w:rsidRPr="00D038F6">
        <w:rPr>
          <w:rFonts w:asciiTheme="majorHAnsi" w:hAnsiTheme="majorHAnsi"/>
          <w:b/>
          <w:color w:val="000000"/>
          <w:sz w:val="22"/>
          <w:szCs w:val="23"/>
        </w:rPr>
        <w:t>5. Page 6, under 1.1.4 Rural Areas in Municipalities</w:t>
      </w:r>
    </w:p>
    <w:p w:rsidR="00D038F6" w:rsidRPr="00D038F6" w:rsidRDefault="00D038F6" w:rsidP="00D038F6">
      <w:pPr>
        <w:pStyle w:val="BodyTextIn"/>
        <w:rPr>
          <w:rFonts w:asciiTheme="majorHAnsi" w:hAnsiTheme="majorHAnsi"/>
          <w:color w:val="000000"/>
          <w:sz w:val="22"/>
          <w:szCs w:val="23"/>
        </w:rPr>
      </w:pPr>
      <w:r w:rsidRPr="00D038F6">
        <w:rPr>
          <w:rFonts w:asciiTheme="majorHAnsi" w:hAnsiTheme="majorHAnsi"/>
          <w:color w:val="000000"/>
          <w:sz w:val="22"/>
          <w:szCs w:val="23"/>
        </w:rPr>
        <w:t xml:space="preserve">1.1.4.1 In </w:t>
      </w:r>
      <w:r w:rsidRPr="00D038F6">
        <w:rPr>
          <w:rFonts w:asciiTheme="majorHAnsi" w:hAnsiTheme="majorHAnsi"/>
          <w:i/>
          <w:iCs/>
          <w:color w:val="000000"/>
          <w:sz w:val="22"/>
          <w:szCs w:val="23"/>
        </w:rPr>
        <w:t xml:space="preserve">rural areas </w:t>
      </w:r>
      <w:r w:rsidRPr="00D038F6">
        <w:rPr>
          <w:rFonts w:asciiTheme="majorHAnsi" w:hAnsiTheme="majorHAnsi"/>
          <w:color w:val="000000"/>
          <w:sz w:val="22"/>
          <w:szCs w:val="23"/>
        </w:rPr>
        <w:t xml:space="preserve">located in municipalities: </w:t>
      </w:r>
    </w:p>
    <w:p w:rsidR="00D038F6" w:rsidRPr="00D038F6" w:rsidRDefault="00D038F6" w:rsidP="00D038F6">
      <w:pPr>
        <w:pStyle w:val="BodyTextIn"/>
        <w:ind w:left="993"/>
        <w:rPr>
          <w:rFonts w:asciiTheme="majorHAnsi" w:hAnsiTheme="majorHAnsi"/>
          <w:color w:val="000000"/>
          <w:sz w:val="22"/>
          <w:szCs w:val="23"/>
        </w:rPr>
      </w:pPr>
      <w:r w:rsidRPr="00D038F6">
        <w:rPr>
          <w:rFonts w:asciiTheme="majorHAnsi" w:hAnsiTheme="majorHAnsi"/>
          <w:color w:val="000000"/>
          <w:sz w:val="22"/>
          <w:szCs w:val="23"/>
        </w:rPr>
        <w:t xml:space="preserve">a) permitted uses and activities shall relate to the management or use of resources, resource-based recreational activities, limited residential development, </w:t>
      </w:r>
      <w:r w:rsidRPr="00D038F6">
        <w:rPr>
          <w:rFonts w:asciiTheme="majorHAnsi" w:hAnsiTheme="majorHAnsi"/>
          <w:b/>
          <w:color w:val="000000"/>
          <w:sz w:val="22"/>
          <w:szCs w:val="23"/>
          <w:highlight w:val="yellow"/>
        </w:rPr>
        <w:t>agriculture and related secondary uses as well as</w:t>
      </w:r>
      <w:r w:rsidRPr="00D038F6">
        <w:rPr>
          <w:rFonts w:asciiTheme="majorHAnsi" w:hAnsiTheme="majorHAnsi"/>
          <w:color w:val="000000"/>
          <w:sz w:val="22"/>
          <w:szCs w:val="23"/>
        </w:rPr>
        <w:t xml:space="preserve"> other rural land uses; </w:t>
      </w:r>
    </w:p>
    <w:p w:rsidR="00D038F6" w:rsidRPr="00D038F6" w:rsidRDefault="00D038F6" w:rsidP="00D038F6">
      <w:pPr>
        <w:pStyle w:val="BodyTextIn"/>
        <w:ind w:left="993"/>
        <w:rPr>
          <w:rFonts w:asciiTheme="majorHAnsi" w:hAnsiTheme="majorHAnsi"/>
          <w:sz w:val="22"/>
          <w:szCs w:val="23"/>
        </w:rPr>
      </w:pPr>
      <w:r w:rsidRPr="00D038F6">
        <w:rPr>
          <w:rFonts w:asciiTheme="majorHAnsi" w:hAnsiTheme="majorHAnsi"/>
          <w:sz w:val="22"/>
        </w:rPr>
        <w:t xml:space="preserve">c) new land uses, including the creation of lots, and new or expanding livestock facilities, shall comply with the </w:t>
      </w:r>
      <w:r w:rsidRPr="00D038F6">
        <w:rPr>
          <w:rFonts w:asciiTheme="majorHAnsi" w:hAnsiTheme="majorHAnsi"/>
          <w:i/>
          <w:iCs/>
          <w:sz w:val="22"/>
        </w:rPr>
        <w:t>minimum distance separation formulae</w:t>
      </w:r>
      <w:r w:rsidRPr="00D038F6">
        <w:rPr>
          <w:rFonts w:asciiTheme="majorHAnsi" w:hAnsiTheme="majorHAnsi"/>
          <w:sz w:val="22"/>
        </w:rPr>
        <w:t xml:space="preserve">; </w:t>
      </w:r>
      <w:r w:rsidRPr="00D038F6">
        <w:rPr>
          <w:rFonts w:asciiTheme="majorHAnsi" w:hAnsiTheme="majorHAnsi"/>
          <w:b/>
          <w:sz w:val="22"/>
          <w:highlight w:val="cyan"/>
        </w:rPr>
        <w:t xml:space="preserve">Minimum Distance Formulae I and II in their strict application, do not allow for different scales of livestock operations to be located on and adjacent to other agricultural, residential, or commercial land uses. The integration of uses, including livestock at smaller scales, is a characteristic of farming innovation and a key component to ensuring the vitality of smaller-scale farming in our current economy (See </w:t>
      </w:r>
      <w:r w:rsidRPr="00D038F6">
        <w:rPr>
          <w:rFonts w:asciiTheme="majorHAnsi" w:hAnsiTheme="majorHAnsi"/>
          <w:b/>
          <w:sz w:val="22"/>
          <w:szCs w:val="23"/>
          <w:highlight w:val="cyan"/>
        </w:rPr>
        <w:t xml:space="preserve">Donald, B. (2009). </w:t>
      </w:r>
      <w:r w:rsidRPr="00D038F6">
        <w:rPr>
          <w:rFonts w:asciiTheme="majorHAnsi" w:hAnsiTheme="majorHAnsi"/>
          <w:b/>
          <w:i/>
          <w:iCs/>
          <w:sz w:val="22"/>
          <w:szCs w:val="23"/>
          <w:highlight w:val="cyan"/>
        </w:rPr>
        <w:t xml:space="preserve">From Kraft to Craft: innovation and creativity in Ontario’s Food Economy (Working paper published by the Martin Prosperity Institute. </w:t>
      </w:r>
      <w:r w:rsidRPr="00D038F6">
        <w:rPr>
          <w:rFonts w:asciiTheme="majorHAnsi" w:hAnsiTheme="majorHAnsi"/>
          <w:b/>
          <w:sz w:val="22"/>
          <w:szCs w:val="23"/>
          <w:highlight w:val="cyan"/>
        </w:rPr>
        <w:t xml:space="preserve">Rotman School of Management, University of Toronto, February 2009, ref. 2009-WPONT-001). Retrieved from </w:t>
      </w:r>
      <w:hyperlink r:id="rId5" w:history="1">
        <w:r w:rsidRPr="00D038F6">
          <w:rPr>
            <w:rStyle w:val="Hyperlink"/>
            <w:rFonts w:asciiTheme="majorHAnsi" w:hAnsiTheme="majorHAnsi"/>
            <w:b/>
            <w:sz w:val="22"/>
            <w:szCs w:val="23"/>
            <w:highlight w:val="cyan"/>
          </w:rPr>
          <w:t>http://martinprosperity.org/research-and-publications</w:t>
        </w:r>
      </w:hyperlink>
      <w:r w:rsidRPr="00D038F6">
        <w:rPr>
          <w:rFonts w:asciiTheme="majorHAnsi" w:hAnsiTheme="majorHAnsi"/>
          <w:sz w:val="22"/>
          <w:szCs w:val="23"/>
          <w:highlight w:val="cyan"/>
        </w:rPr>
        <w:t>)</w:t>
      </w:r>
    </w:p>
    <w:p w:rsidR="00D038F6" w:rsidRPr="00D038F6" w:rsidRDefault="00D038F6" w:rsidP="00D038F6">
      <w:pPr>
        <w:pStyle w:val="BodyTextIn"/>
        <w:ind w:left="993"/>
        <w:rPr>
          <w:rFonts w:asciiTheme="majorHAnsi" w:hAnsiTheme="majorHAnsi"/>
          <w:b/>
          <w:sz w:val="22"/>
          <w:szCs w:val="23"/>
        </w:rPr>
      </w:pPr>
      <w:r w:rsidRPr="00D038F6">
        <w:rPr>
          <w:rFonts w:asciiTheme="majorHAnsi" w:hAnsiTheme="majorHAnsi"/>
          <w:sz w:val="22"/>
          <w:szCs w:val="23"/>
        </w:rPr>
        <w:t xml:space="preserve">g) recreational, tourism and other economic opportunities </w:t>
      </w:r>
      <w:r w:rsidRPr="00D038F6">
        <w:rPr>
          <w:rFonts w:asciiTheme="majorHAnsi" w:hAnsiTheme="majorHAnsi"/>
          <w:b/>
          <w:sz w:val="22"/>
          <w:szCs w:val="23"/>
          <w:highlight w:val="yellow"/>
        </w:rPr>
        <w:t>(such as on-farm secondary and agriculture-related uses where appropriate)</w:t>
      </w:r>
      <w:r w:rsidRPr="00D038F6">
        <w:rPr>
          <w:rFonts w:asciiTheme="majorHAnsi" w:hAnsiTheme="majorHAnsi"/>
          <w:b/>
          <w:sz w:val="22"/>
          <w:szCs w:val="23"/>
        </w:rPr>
        <w:t xml:space="preserve"> </w:t>
      </w:r>
      <w:r w:rsidRPr="00D038F6">
        <w:rPr>
          <w:rFonts w:asciiTheme="majorHAnsi" w:hAnsiTheme="majorHAnsi"/>
          <w:sz w:val="22"/>
          <w:szCs w:val="23"/>
        </w:rPr>
        <w:t xml:space="preserve">should be promoted. </w:t>
      </w:r>
      <w:r w:rsidRPr="00D038F6">
        <w:rPr>
          <w:rFonts w:asciiTheme="majorHAnsi" w:hAnsiTheme="majorHAnsi"/>
          <w:b/>
          <w:sz w:val="22"/>
          <w:szCs w:val="23"/>
          <w:highlight w:val="cyan"/>
        </w:rPr>
        <w:t>At the moment, recreational activities such as golf courses are promoted. However, farmers are having a difficult time applying for secondary uses that would contribute to their overall farm viability. There are no clear rules and guidance for municipalities with respect to these issues and PPS needs to take the lead. Some municipalities are extremely prohibitive while in other municipalities the language enables secondary activities. Activities such as the Elmira food market auction, for example, would not have been enabled if the region of Waterloo did not incorporate local food issues into their land use planning policy.</w:t>
      </w:r>
    </w:p>
    <w:p w:rsidR="00D038F6" w:rsidRPr="00D038F6" w:rsidRDefault="00D038F6" w:rsidP="00D038F6">
      <w:pPr>
        <w:pStyle w:val="BodyTextIn"/>
        <w:ind w:left="993"/>
        <w:rPr>
          <w:rFonts w:asciiTheme="majorHAnsi" w:hAnsiTheme="majorHAnsi"/>
          <w:b/>
          <w:sz w:val="22"/>
          <w:szCs w:val="23"/>
        </w:rPr>
      </w:pPr>
      <w:r w:rsidRPr="00D038F6">
        <w:rPr>
          <w:rFonts w:asciiTheme="majorHAnsi" w:hAnsiTheme="majorHAnsi"/>
          <w:b/>
          <w:sz w:val="22"/>
          <w:highlight w:val="yellow"/>
        </w:rPr>
        <w:t>h) locally important agricultural and resource areas should be enhanced by enabling the development of supportive local food infrastructure (including storage, processing and distribution facilities);</w:t>
      </w:r>
      <w:r w:rsidRPr="00D038F6">
        <w:rPr>
          <w:rFonts w:asciiTheme="majorHAnsi" w:hAnsiTheme="majorHAnsi"/>
          <w:b/>
          <w:sz w:val="22"/>
        </w:rPr>
        <w:br/>
      </w:r>
    </w:p>
    <w:p w:rsidR="00D038F6" w:rsidRPr="00D038F6" w:rsidRDefault="00D038F6" w:rsidP="00D038F6">
      <w:pPr>
        <w:rPr>
          <w:rFonts w:asciiTheme="majorHAnsi" w:hAnsiTheme="majorHAnsi"/>
          <w:b/>
          <w:sz w:val="22"/>
        </w:rPr>
      </w:pPr>
      <w:r w:rsidRPr="00D038F6">
        <w:rPr>
          <w:rFonts w:asciiTheme="majorHAnsi" w:hAnsiTheme="majorHAnsi"/>
          <w:b/>
          <w:sz w:val="22"/>
        </w:rPr>
        <w:t>6.  Page 7 under 1.2 COORDINATION</w:t>
      </w:r>
    </w:p>
    <w:p w:rsidR="00D038F6" w:rsidRPr="00D038F6" w:rsidRDefault="00D038F6" w:rsidP="00D038F6">
      <w:pPr>
        <w:widowControl w:val="0"/>
        <w:autoSpaceDE w:val="0"/>
        <w:autoSpaceDN w:val="0"/>
        <w:adjustRightInd w:val="0"/>
        <w:ind w:left="900" w:hanging="889"/>
        <w:rPr>
          <w:rFonts w:asciiTheme="majorHAnsi" w:hAnsiTheme="majorHAnsi" w:cs="Times New Roman"/>
          <w:color w:val="000000"/>
          <w:sz w:val="22"/>
          <w:szCs w:val="23"/>
        </w:rPr>
      </w:pPr>
      <w:r w:rsidRPr="00D038F6">
        <w:rPr>
          <w:rFonts w:asciiTheme="majorHAnsi" w:hAnsiTheme="majorHAnsi" w:cs="Times New Roman"/>
          <w:color w:val="000000"/>
          <w:sz w:val="22"/>
          <w:szCs w:val="23"/>
        </w:rPr>
        <w:t xml:space="preserve">1.2.1 A coordinated, integrated and comprehensive approach should be used when dealing with planning matters within municipalities, or which cross lower, single and/or upper-tier municipal boundaries, including: </w:t>
      </w:r>
      <w:r w:rsidRPr="00D038F6">
        <w:rPr>
          <w:rFonts w:asciiTheme="majorHAnsi" w:hAnsiTheme="majorHAnsi" w:cs="Times New Roman"/>
          <w:color w:val="000000"/>
          <w:sz w:val="22"/>
          <w:szCs w:val="23"/>
        </w:rPr>
        <w:br/>
        <w:t xml:space="preserve">a) managing and/or promoting growth and development; </w:t>
      </w:r>
      <w:r w:rsidRPr="00D038F6">
        <w:rPr>
          <w:rFonts w:asciiTheme="majorHAnsi" w:hAnsiTheme="majorHAnsi" w:cs="Times New Roman"/>
          <w:color w:val="000000"/>
          <w:sz w:val="22"/>
          <w:szCs w:val="23"/>
        </w:rPr>
        <w:br/>
        <w:t xml:space="preserve">b) managing natural heritage, water, </w:t>
      </w:r>
      <w:r w:rsidRPr="00D038F6">
        <w:rPr>
          <w:rFonts w:asciiTheme="majorHAnsi" w:hAnsiTheme="majorHAnsi" w:cs="Times New Roman"/>
          <w:b/>
          <w:color w:val="000000"/>
          <w:sz w:val="22"/>
          <w:szCs w:val="23"/>
          <w:highlight w:val="yellow"/>
        </w:rPr>
        <w:t>(urban/rural agricultural),</w:t>
      </w:r>
      <w:r w:rsidRPr="00D038F6">
        <w:rPr>
          <w:rFonts w:asciiTheme="majorHAnsi" w:hAnsiTheme="majorHAnsi" w:cs="Times New Roman"/>
          <w:color w:val="000000"/>
          <w:sz w:val="22"/>
          <w:szCs w:val="23"/>
        </w:rPr>
        <w:t xml:space="preserve"> mineral, </w:t>
      </w:r>
      <w:r w:rsidRPr="00D038F6">
        <w:rPr>
          <w:rFonts w:asciiTheme="majorHAnsi" w:hAnsiTheme="majorHAnsi" w:cs="Times New Roman"/>
          <w:color w:val="000000"/>
          <w:sz w:val="22"/>
          <w:szCs w:val="23"/>
        </w:rPr>
        <w:tab/>
      </w:r>
      <w:r w:rsidRPr="00D038F6">
        <w:rPr>
          <w:rFonts w:asciiTheme="majorHAnsi" w:hAnsiTheme="majorHAnsi" w:cs="Times New Roman"/>
          <w:color w:val="000000"/>
          <w:sz w:val="22"/>
          <w:szCs w:val="23"/>
        </w:rPr>
        <w:tab/>
        <w:t xml:space="preserve">and cultural heritage and archaeological resources; </w:t>
      </w:r>
    </w:p>
    <w:p w:rsidR="00D038F6" w:rsidRPr="00D038F6" w:rsidRDefault="00D038F6" w:rsidP="00D038F6">
      <w:pPr>
        <w:rPr>
          <w:rFonts w:asciiTheme="majorHAnsi" w:hAnsiTheme="majorHAnsi" w:cs="Times New Roman"/>
          <w:b/>
          <w:color w:val="000000"/>
          <w:sz w:val="22"/>
          <w:szCs w:val="23"/>
        </w:rPr>
      </w:pPr>
      <w:r w:rsidRPr="00D038F6">
        <w:rPr>
          <w:rFonts w:asciiTheme="majorHAnsi" w:hAnsiTheme="majorHAnsi" w:cs="Times New Roman"/>
          <w:b/>
          <w:color w:val="000000"/>
          <w:sz w:val="22"/>
          <w:szCs w:val="23"/>
        </w:rPr>
        <w:t>7.  Page 8 under 1.3 EMPLOYMENT AREAS</w:t>
      </w:r>
    </w:p>
    <w:p w:rsidR="00D038F6" w:rsidRPr="00D038F6" w:rsidRDefault="00D038F6" w:rsidP="00D038F6">
      <w:pPr>
        <w:pStyle w:val="WP9List3"/>
        <w:ind w:left="900" w:hanging="900"/>
        <w:rPr>
          <w:rFonts w:asciiTheme="majorHAnsi" w:hAnsiTheme="majorHAnsi"/>
          <w:color w:val="000000"/>
          <w:sz w:val="22"/>
          <w:szCs w:val="23"/>
        </w:rPr>
      </w:pPr>
      <w:r w:rsidRPr="00D038F6">
        <w:rPr>
          <w:rFonts w:asciiTheme="majorHAnsi" w:hAnsiTheme="majorHAnsi"/>
          <w:color w:val="000000"/>
          <w:sz w:val="22"/>
          <w:szCs w:val="23"/>
        </w:rPr>
        <w:t xml:space="preserve">1.3.1 Planning authorities shall promote economic development and competitiveness by: </w:t>
      </w:r>
    </w:p>
    <w:p w:rsidR="00D038F6" w:rsidRPr="00D038F6" w:rsidRDefault="00D038F6" w:rsidP="00D038F6">
      <w:pPr>
        <w:pStyle w:val="level5"/>
        <w:ind w:left="1620" w:hanging="720"/>
        <w:rPr>
          <w:rFonts w:asciiTheme="majorHAnsi" w:hAnsiTheme="majorHAnsi"/>
          <w:b/>
          <w:color w:val="000000"/>
          <w:sz w:val="22"/>
          <w:szCs w:val="23"/>
        </w:rPr>
      </w:pPr>
      <w:r w:rsidRPr="00D038F6">
        <w:rPr>
          <w:rFonts w:asciiTheme="majorHAnsi" w:hAnsiTheme="majorHAnsi"/>
          <w:color w:val="000000"/>
          <w:sz w:val="22"/>
          <w:szCs w:val="23"/>
        </w:rPr>
        <w:t xml:space="preserve">a) providing for an appropriate mix and range of employment (including industrial, commercial, </w:t>
      </w:r>
      <w:r w:rsidRPr="00D038F6">
        <w:rPr>
          <w:rFonts w:asciiTheme="majorHAnsi" w:hAnsiTheme="majorHAnsi"/>
          <w:color w:val="000000"/>
          <w:sz w:val="22"/>
          <w:szCs w:val="23"/>
          <w:highlight w:val="yellow"/>
        </w:rPr>
        <w:t>agricultural</w:t>
      </w:r>
      <w:r w:rsidRPr="00D038F6">
        <w:rPr>
          <w:rFonts w:asciiTheme="majorHAnsi" w:hAnsiTheme="majorHAnsi"/>
          <w:color w:val="000000"/>
          <w:sz w:val="22"/>
          <w:szCs w:val="23"/>
        </w:rPr>
        <w:t xml:space="preserve"> and institutional uses) to meet long-term needs; </w:t>
      </w:r>
      <w:r w:rsidRPr="00D038F6">
        <w:rPr>
          <w:rFonts w:asciiTheme="majorHAnsi" w:hAnsiTheme="majorHAnsi"/>
          <w:b/>
          <w:color w:val="000000"/>
          <w:sz w:val="22"/>
          <w:szCs w:val="23"/>
          <w:highlight w:val="cyan"/>
        </w:rPr>
        <w:t>The Ministry of Municipal Affairs and Housing should consider local food sector work such as urban greenhouse operations , urban farms, or food incubators (see the example of Growing Power in Chicago or Food Cycles in Toronto) as types of uses that would be permitted in areas zoned  Employment Areas and not limit these uses to industrial, commercial or institutional uses.</w:t>
      </w:r>
      <w:r w:rsidRPr="00D038F6">
        <w:rPr>
          <w:rFonts w:asciiTheme="majorHAnsi" w:hAnsiTheme="majorHAnsi"/>
          <w:b/>
          <w:color w:val="000000"/>
          <w:sz w:val="22"/>
          <w:szCs w:val="23"/>
        </w:rPr>
        <w:br/>
      </w:r>
    </w:p>
    <w:p w:rsidR="00D038F6" w:rsidRPr="00D038F6" w:rsidRDefault="00D038F6" w:rsidP="00D038F6">
      <w:pPr>
        <w:rPr>
          <w:rFonts w:asciiTheme="majorHAnsi" w:hAnsiTheme="majorHAnsi"/>
          <w:b/>
          <w:sz w:val="22"/>
        </w:rPr>
      </w:pPr>
      <w:r w:rsidRPr="00D038F6">
        <w:rPr>
          <w:rFonts w:asciiTheme="majorHAnsi" w:hAnsiTheme="majorHAnsi"/>
          <w:b/>
          <w:sz w:val="22"/>
        </w:rPr>
        <w:t>8. Page 9 under 1.4.3 bullet c)</w:t>
      </w:r>
      <w:r w:rsidRPr="00D038F6">
        <w:rPr>
          <w:rFonts w:asciiTheme="majorHAnsi" w:hAnsiTheme="majorHAnsi"/>
          <w:b/>
          <w:sz w:val="22"/>
        </w:rPr>
        <w:br/>
      </w:r>
      <w:r w:rsidRPr="00D038F6">
        <w:rPr>
          <w:rFonts w:asciiTheme="majorHAnsi" w:hAnsiTheme="majorHAnsi"/>
          <w:color w:val="000000"/>
          <w:sz w:val="22"/>
          <w:szCs w:val="23"/>
        </w:rPr>
        <w:t xml:space="preserve">c) Directing the development of new housing towards locations where appropriate levels of </w:t>
      </w:r>
      <w:r w:rsidRPr="00D038F6">
        <w:rPr>
          <w:rFonts w:asciiTheme="majorHAnsi" w:hAnsiTheme="majorHAnsi"/>
          <w:i/>
          <w:iCs/>
          <w:color w:val="000000"/>
          <w:sz w:val="22"/>
          <w:szCs w:val="23"/>
        </w:rPr>
        <w:t xml:space="preserve">infrastructure </w:t>
      </w:r>
      <w:r w:rsidRPr="00D038F6">
        <w:rPr>
          <w:rFonts w:asciiTheme="majorHAnsi" w:hAnsiTheme="majorHAnsi"/>
          <w:color w:val="000000"/>
          <w:sz w:val="22"/>
          <w:szCs w:val="23"/>
        </w:rPr>
        <w:t xml:space="preserve">and </w:t>
      </w:r>
      <w:r w:rsidRPr="00D038F6">
        <w:rPr>
          <w:rFonts w:asciiTheme="majorHAnsi" w:hAnsiTheme="majorHAnsi"/>
          <w:i/>
          <w:iCs/>
          <w:color w:val="000000"/>
          <w:sz w:val="22"/>
          <w:szCs w:val="23"/>
        </w:rPr>
        <w:t xml:space="preserve">public service facilities </w:t>
      </w:r>
      <w:r w:rsidRPr="00D038F6">
        <w:rPr>
          <w:rFonts w:asciiTheme="majorHAnsi" w:hAnsiTheme="majorHAnsi"/>
          <w:color w:val="000000"/>
          <w:sz w:val="22"/>
          <w:szCs w:val="23"/>
        </w:rPr>
        <w:t xml:space="preserve">are or will be available to support current and projected needs; </w:t>
      </w:r>
      <w:r w:rsidRPr="00D038F6">
        <w:rPr>
          <w:rFonts w:asciiTheme="majorHAnsi" w:hAnsiTheme="majorHAnsi"/>
          <w:b/>
          <w:color w:val="000000"/>
          <w:sz w:val="22"/>
          <w:szCs w:val="23"/>
          <w:highlight w:val="cyan"/>
        </w:rPr>
        <w:t xml:space="preserve">The PPS should elaborate with respect to </w:t>
      </w:r>
      <w:r w:rsidRPr="00D038F6">
        <w:rPr>
          <w:rFonts w:asciiTheme="majorHAnsi" w:hAnsiTheme="majorHAnsi"/>
          <w:b/>
          <w:i/>
          <w:color w:val="000000"/>
          <w:sz w:val="22"/>
          <w:szCs w:val="23"/>
          <w:highlight w:val="cyan"/>
        </w:rPr>
        <w:t>infrastructure</w:t>
      </w:r>
      <w:r w:rsidRPr="00D038F6">
        <w:rPr>
          <w:rFonts w:asciiTheme="majorHAnsi" w:hAnsiTheme="majorHAnsi"/>
          <w:b/>
          <w:color w:val="000000"/>
          <w:sz w:val="22"/>
          <w:szCs w:val="23"/>
          <w:highlight w:val="cyan"/>
        </w:rPr>
        <w:t xml:space="preserve"> and </w:t>
      </w:r>
      <w:r w:rsidRPr="00D038F6">
        <w:rPr>
          <w:rFonts w:asciiTheme="majorHAnsi" w:hAnsiTheme="majorHAnsi"/>
          <w:b/>
          <w:i/>
          <w:color w:val="000000"/>
          <w:sz w:val="22"/>
          <w:szCs w:val="23"/>
          <w:highlight w:val="cyan"/>
        </w:rPr>
        <w:t>public service facilities</w:t>
      </w:r>
      <w:r w:rsidRPr="00D038F6">
        <w:rPr>
          <w:rFonts w:asciiTheme="majorHAnsi" w:hAnsiTheme="majorHAnsi"/>
          <w:b/>
          <w:color w:val="000000"/>
          <w:sz w:val="22"/>
          <w:szCs w:val="23"/>
          <w:highlight w:val="cyan"/>
        </w:rPr>
        <w:t xml:space="preserve"> and include food retail, farmers’ market and other community food facilities within these categories in order to ensure development projects that would shape healthy and sustainable communities. The existence of food deserts in urban and suburban areas exemplify the inefficacy of this policy when it comes to development of new housing - especially where people would have to travel by car to access fresh food retail.</w:t>
      </w:r>
    </w:p>
    <w:p w:rsidR="00D038F6" w:rsidRPr="00D038F6" w:rsidRDefault="00D038F6" w:rsidP="00D038F6">
      <w:pPr>
        <w:rPr>
          <w:rFonts w:asciiTheme="majorHAnsi" w:hAnsiTheme="majorHAnsi"/>
          <w:b/>
          <w:color w:val="000000"/>
          <w:sz w:val="22"/>
          <w:szCs w:val="23"/>
        </w:rPr>
      </w:pPr>
      <w:r w:rsidRPr="00D038F6">
        <w:rPr>
          <w:rFonts w:asciiTheme="majorHAnsi" w:hAnsiTheme="majorHAnsi"/>
          <w:b/>
          <w:color w:val="000000"/>
          <w:sz w:val="22"/>
          <w:szCs w:val="23"/>
        </w:rPr>
        <w:t>9. Page 10 under 1.5.1 Healthy, active communities should be promoted by:</w:t>
      </w:r>
    </w:p>
    <w:p w:rsidR="00D038F6" w:rsidRPr="00D038F6" w:rsidRDefault="00D038F6" w:rsidP="00D038F6">
      <w:pPr>
        <w:widowControl w:val="0"/>
        <w:autoSpaceDE w:val="0"/>
        <w:autoSpaceDN w:val="0"/>
        <w:adjustRightInd w:val="0"/>
        <w:rPr>
          <w:rFonts w:asciiTheme="majorHAnsi" w:hAnsiTheme="majorHAnsi" w:cs="Times New Roman"/>
          <w:color w:val="000000"/>
          <w:sz w:val="22"/>
          <w:szCs w:val="23"/>
        </w:rPr>
      </w:pPr>
      <w:r w:rsidRPr="00D038F6">
        <w:rPr>
          <w:rFonts w:asciiTheme="majorHAnsi" w:hAnsiTheme="majorHAnsi" w:cs="Times New Roman"/>
          <w:color w:val="000000"/>
          <w:sz w:val="22"/>
          <w:szCs w:val="23"/>
        </w:rPr>
        <w:t xml:space="preserve">d) Considering the impacts of planning decisions on provincial parks, conservation reserves, </w:t>
      </w:r>
      <w:r w:rsidRPr="00D038F6">
        <w:rPr>
          <w:rFonts w:asciiTheme="majorHAnsi" w:hAnsiTheme="majorHAnsi" w:cs="Times New Roman"/>
          <w:b/>
          <w:color w:val="000000"/>
          <w:sz w:val="22"/>
          <w:szCs w:val="23"/>
          <w:highlight w:val="yellow"/>
        </w:rPr>
        <w:t>farmland</w:t>
      </w:r>
      <w:r w:rsidRPr="00D038F6">
        <w:rPr>
          <w:rFonts w:asciiTheme="majorHAnsi" w:hAnsiTheme="majorHAnsi" w:cs="Times New Roman"/>
          <w:color w:val="000000"/>
          <w:sz w:val="22"/>
          <w:szCs w:val="23"/>
        </w:rPr>
        <w:t xml:space="preserve"> and conservation areas.</w:t>
      </w:r>
      <w:r w:rsidRPr="00D038F6">
        <w:rPr>
          <w:rFonts w:asciiTheme="majorHAnsi" w:hAnsiTheme="majorHAnsi" w:cs="Times New Roman"/>
          <w:color w:val="000000"/>
          <w:sz w:val="22"/>
          <w:szCs w:val="23"/>
        </w:rPr>
        <w:br/>
      </w:r>
      <w:r w:rsidRPr="00D038F6">
        <w:rPr>
          <w:rFonts w:asciiTheme="majorHAnsi" w:hAnsiTheme="majorHAnsi"/>
          <w:b/>
          <w:color w:val="000000"/>
          <w:sz w:val="22"/>
          <w:szCs w:val="23"/>
          <w:highlight w:val="yellow"/>
        </w:rPr>
        <w:t>e) Ensuring access to affordable and healthy foods in the planning of communities</w:t>
      </w:r>
      <w:r w:rsidRPr="00D038F6">
        <w:rPr>
          <w:rFonts w:asciiTheme="majorHAnsi" w:hAnsiTheme="majorHAnsi"/>
          <w:b/>
          <w:color w:val="000000"/>
          <w:sz w:val="22"/>
          <w:szCs w:val="23"/>
        </w:rPr>
        <w:t>.</w:t>
      </w:r>
      <w:r w:rsidRPr="00D038F6">
        <w:rPr>
          <w:rFonts w:asciiTheme="majorHAnsi" w:hAnsiTheme="majorHAnsi" w:cs="Times New Roman"/>
          <w:color w:val="000000"/>
          <w:sz w:val="22"/>
          <w:szCs w:val="23"/>
        </w:rPr>
        <w:br/>
      </w:r>
      <w:r w:rsidRPr="00D038F6">
        <w:rPr>
          <w:rFonts w:asciiTheme="majorHAnsi" w:hAnsiTheme="majorHAnsi"/>
          <w:b/>
          <w:sz w:val="22"/>
          <w:highlight w:val="yellow"/>
        </w:rPr>
        <w:t>f) Include infrastructure to accommodate farmers’ markets, community gardens, and other community food initiatives.</w:t>
      </w:r>
      <w:r w:rsidRPr="00D038F6">
        <w:rPr>
          <w:rFonts w:asciiTheme="majorHAnsi" w:hAnsiTheme="majorHAnsi"/>
          <w:b/>
          <w:sz w:val="22"/>
        </w:rPr>
        <w:t xml:space="preserve"> </w:t>
      </w:r>
      <w:r w:rsidRPr="00D038F6">
        <w:rPr>
          <w:rFonts w:asciiTheme="majorHAnsi" w:hAnsiTheme="majorHAnsi"/>
          <w:b/>
          <w:sz w:val="22"/>
        </w:rPr>
        <w:br/>
      </w:r>
    </w:p>
    <w:p w:rsidR="00D038F6" w:rsidRPr="00D038F6" w:rsidRDefault="00D038F6" w:rsidP="00D038F6">
      <w:pPr>
        <w:rPr>
          <w:rFonts w:asciiTheme="majorHAnsi" w:hAnsiTheme="majorHAnsi"/>
          <w:b/>
          <w:color w:val="000000"/>
          <w:sz w:val="22"/>
          <w:szCs w:val="23"/>
        </w:rPr>
      </w:pPr>
      <w:r w:rsidRPr="00D038F6">
        <w:rPr>
          <w:rFonts w:asciiTheme="majorHAnsi" w:hAnsiTheme="majorHAnsi"/>
          <w:b/>
          <w:color w:val="000000"/>
          <w:sz w:val="22"/>
          <w:szCs w:val="23"/>
        </w:rPr>
        <w:t>10.Page 13 under 1.6.8 Waste Management</w:t>
      </w:r>
    </w:p>
    <w:p w:rsidR="00D038F6" w:rsidRPr="00D038F6" w:rsidRDefault="00D038F6" w:rsidP="00D038F6">
      <w:pPr>
        <w:widowControl w:val="0"/>
        <w:autoSpaceDE w:val="0"/>
        <w:autoSpaceDN w:val="0"/>
        <w:adjustRightInd w:val="0"/>
        <w:ind w:left="900" w:hanging="900"/>
        <w:rPr>
          <w:rFonts w:asciiTheme="majorHAnsi" w:hAnsiTheme="majorHAnsi" w:cs="Times New Roman"/>
          <w:color w:val="000000"/>
          <w:sz w:val="22"/>
          <w:szCs w:val="23"/>
        </w:rPr>
      </w:pPr>
      <w:r w:rsidRPr="00D038F6">
        <w:rPr>
          <w:rFonts w:asciiTheme="majorHAnsi" w:hAnsiTheme="majorHAnsi" w:cs="Times New Roman"/>
          <w:color w:val="000000"/>
          <w:sz w:val="22"/>
          <w:szCs w:val="23"/>
        </w:rPr>
        <w:t xml:space="preserve">1.6.8.1 </w:t>
      </w:r>
      <w:r w:rsidRPr="00D038F6">
        <w:rPr>
          <w:rFonts w:asciiTheme="majorHAnsi" w:hAnsiTheme="majorHAnsi" w:cs="Times New Roman"/>
          <w:i/>
          <w:iCs/>
          <w:color w:val="000000"/>
          <w:sz w:val="22"/>
          <w:szCs w:val="23"/>
        </w:rPr>
        <w:t xml:space="preserve">Waste management systems </w:t>
      </w:r>
      <w:r w:rsidRPr="00D038F6">
        <w:rPr>
          <w:rFonts w:asciiTheme="majorHAnsi" w:hAnsiTheme="majorHAnsi" w:cs="Times New Roman"/>
          <w:color w:val="000000"/>
          <w:sz w:val="22"/>
          <w:szCs w:val="23"/>
        </w:rPr>
        <w:t xml:space="preserve">need to be provided that are of an appropriate size and type to accommodate present and future requirements, and facilitate, encourage and promote reduction, reuse and recycling objectives. </w:t>
      </w:r>
    </w:p>
    <w:p w:rsidR="00D038F6" w:rsidRPr="00D038F6" w:rsidRDefault="00D038F6" w:rsidP="00D038F6">
      <w:pPr>
        <w:rPr>
          <w:rFonts w:asciiTheme="majorHAnsi" w:hAnsiTheme="majorHAnsi"/>
          <w:b/>
          <w:color w:val="000000"/>
          <w:sz w:val="22"/>
          <w:szCs w:val="23"/>
        </w:rPr>
      </w:pPr>
      <w:r w:rsidRPr="00D038F6">
        <w:rPr>
          <w:rFonts w:asciiTheme="majorHAnsi" w:hAnsiTheme="majorHAnsi" w:cs="Times New Roman"/>
          <w:i/>
          <w:iCs/>
          <w:color w:val="000000"/>
          <w:sz w:val="22"/>
          <w:szCs w:val="23"/>
        </w:rPr>
        <w:t xml:space="preserve">Waste management systems </w:t>
      </w:r>
      <w:r w:rsidRPr="00D038F6">
        <w:rPr>
          <w:rFonts w:asciiTheme="majorHAnsi" w:hAnsiTheme="majorHAnsi" w:cs="Times New Roman"/>
          <w:color w:val="000000"/>
          <w:sz w:val="22"/>
          <w:szCs w:val="23"/>
        </w:rPr>
        <w:t xml:space="preserve">shall be located and designed in accordance with provincial legislation and standards. </w:t>
      </w:r>
    </w:p>
    <w:p w:rsidR="00D038F6" w:rsidRPr="00D038F6" w:rsidRDefault="00D038F6" w:rsidP="00D038F6">
      <w:pPr>
        <w:rPr>
          <w:rFonts w:asciiTheme="majorHAnsi" w:hAnsiTheme="majorHAnsi"/>
          <w:b/>
          <w:sz w:val="22"/>
        </w:rPr>
      </w:pPr>
      <w:r w:rsidRPr="00D038F6">
        <w:rPr>
          <w:rFonts w:asciiTheme="majorHAnsi" w:hAnsiTheme="majorHAnsi"/>
          <w:b/>
          <w:sz w:val="22"/>
          <w:highlight w:val="cyan"/>
        </w:rPr>
        <w:t>This section should include consideration or mention of composting facilities for organic matter (medium-scale to large scale). The lack of planning and support for medium scale composting continues to be a barrier in waste reduction and planning for food.</w:t>
      </w:r>
    </w:p>
    <w:p w:rsidR="00D038F6" w:rsidRPr="00D038F6" w:rsidRDefault="00D038F6" w:rsidP="00D038F6">
      <w:pPr>
        <w:rPr>
          <w:rFonts w:asciiTheme="majorHAnsi" w:hAnsiTheme="majorHAnsi"/>
          <w:b/>
          <w:sz w:val="22"/>
        </w:rPr>
      </w:pPr>
      <w:r w:rsidRPr="00D038F6">
        <w:rPr>
          <w:rFonts w:asciiTheme="majorHAnsi" w:hAnsiTheme="majorHAnsi"/>
          <w:b/>
          <w:sz w:val="22"/>
        </w:rPr>
        <w:t>11. Page 14 under 1.8.1 Energy and Air Quality</w:t>
      </w:r>
    </w:p>
    <w:p w:rsidR="00D038F6" w:rsidRPr="00D038F6" w:rsidRDefault="00D038F6" w:rsidP="00D038F6">
      <w:pPr>
        <w:rPr>
          <w:rFonts w:asciiTheme="majorHAnsi" w:hAnsiTheme="majorHAnsi"/>
          <w:b/>
          <w:sz w:val="22"/>
        </w:rPr>
      </w:pPr>
      <w:r w:rsidRPr="00D038F6">
        <w:rPr>
          <w:rFonts w:asciiTheme="majorHAnsi" w:hAnsiTheme="majorHAnsi"/>
          <w:b/>
          <w:sz w:val="22"/>
          <w:highlight w:val="yellow"/>
        </w:rPr>
        <w:t>f) Promote productive and edible landscapes in areas that are underutilized but supportive to such forms of vegetation.</w:t>
      </w:r>
      <w:r w:rsidRPr="00D038F6">
        <w:rPr>
          <w:rFonts w:asciiTheme="majorHAnsi" w:hAnsiTheme="majorHAnsi"/>
          <w:b/>
          <w:sz w:val="22"/>
        </w:rPr>
        <w:t xml:space="preserve"> </w:t>
      </w:r>
    </w:p>
    <w:p w:rsidR="00D038F6" w:rsidRPr="00D038F6" w:rsidRDefault="00D038F6" w:rsidP="00D038F6">
      <w:pPr>
        <w:rPr>
          <w:rFonts w:asciiTheme="majorHAnsi" w:hAnsiTheme="majorHAnsi"/>
          <w:b/>
          <w:sz w:val="22"/>
        </w:rPr>
      </w:pPr>
      <w:r w:rsidRPr="00D038F6">
        <w:rPr>
          <w:rFonts w:asciiTheme="majorHAnsi" w:hAnsiTheme="majorHAnsi"/>
          <w:b/>
          <w:sz w:val="22"/>
        </w:rPr>
        <w:t>12. Page 15 under section 2.1.3 Development and site alteration shall not be permitted in:</w:t>
      </w:r>
    </w:p>
    <w:p w:rsidR="00D038F6" w:rsidRPr="00D038F6" w:rsidRDefault="00D038F6" w:rsidP="00D038F6">
      <w:pPr>
        <w:pStyle w:val="ListParagraph"/>
        <w:numPr>
          <w:ilvl w:val="0"/>
          <w:numId w:val="22"/>
        </w:numPr>
        <w:spacing w:after="0"/>
        <w:rPr>
          <w:rFonts w:asciiTheme="majorHAnsi" w:hAnsiTheme="majorHAnsi"/>
          <w:b/>
          <w:sz w:val="22"/>
          <w:highlight w:val="yellow"/>
        </w:rPr>
      </w:pPr>
      <w:r w:rsidRPr="00D038F6">
        <w:rPr>
          <w:rFonts w:asciiTheme="majorHAnsi" w:hAnsiTheme="majorHAnsi"/>
          <w:b/>
          <w:sz w:val="22"/>
          <w:highlight w:val="yellow"/>
        </w:rPr>
        <w:t>Class 1 agricultural lands or land that comprises a specialty crop area.</w:t>
      </w:r>
      <w:r w:rsidRPr="00D038F6">
        <w:rPr>
          <w:rFonts w:asciiTheme="majorHAnsi" w:hAnsiTheme="majorHAnsi"/>
          <w:b/>
          <w:sz w:val="22"/>
          <w:highlight w:val="yellow"/>
        </w:rPr>
        <w:br/>
      </w:r>
    </w:p>
    <w:p w:rsidR="00D038F6" w:rsidRPr="00D038F6" w:rsidRDefault="00D038F6" w:rsidP="00D038F6">
      <w:pPr>
        <w:rPr>
          <w:rFonts w:asciiTheme="majorHAnsi" w:hAnsiTheme="majorHAnsi"/>
          <w:b/>
          <w:sz w:val="22"/>
        </w:rPr>
      </w:pPr>
      <w:r w:rsidRPr="00D038F6">
        <w:rPr>
          <w:rFonts w:asciiTheme="majorHAnsi" w:hAnsiTheme="majorHAnsi"/>
          <w:b/>
          <w:sz w:val="22"/>
        </w:rPr>
        <w:t>13. Page 17 Section 2.3 Agriculture</w:t>
      </w:r>
    </w:p>
    <w:p w:rsidR="00D038F6" w:rsidRPr="00D038F6" w:rsidRDefault="00D038F6" w:rsidP="00D038F6">
      <w:pPr>
        <w:rPr>
          <w:rFonts w:asciiTheme="majorHAnsi" w:hAnsiTheme="majorHAnsi"/>
          <w:b/>
          <w:sz w:val="22"/>
        </w:rPr>
      </w:pPr>
      <w:r w:rsidRPr="00D038F6">
        <w:rPr>
          <w:rFonts w:asciiTheme="majorHAnsi" w:hAnsiTheme="majorHAnsi"/>
          <w:b/>
          <w:sz w:val="22"/>
        </w:rPr>
        <w:t>Could include point under Section 2.3 that reads:</w:t>
      </w:r>
    </w:p>
    <w:p w:rsidR="00D038F6" w:rsidRPr="00D038F6" w:rsidRDefault="00D038F6" w:rsidP="00D038F6">
      <w:pPr>
        <w:rPr>
          <w:rFonts w:asciiTheme="majorHAnsi" w:hAnsiTheme="majorHAnsi"/>
          <w:b/>
          <w:sz w:val="22"/>
        </w:rPr>
      </w:pPr>
      <w:r w:rsidRPr="00D038F6">
        <w:rPr>
          <w:rFonts w:asciiTheme="majorHAnsi" w:hAnsiTheme="majorHAnsi"/>
          <w:b/>
          <w:sz w:val="22"/>
          <w:highlight w:val="yellow"/>
        </w:rPr>
        <w:t>2.3.3 Establish urban and peri-urban agricultural lands through land use policy.</w:t>
      </w:r>
      <w:r w:rsidRPr="00D038F6">
        <w:rPr>
          <w:rFonts w:asciiTheme="majorHAnsi" w:hAnsiTheme="majorHAnsi"/>
          <w:b/>
          <w:sz w:val="22"/>
        </w:rPr>
        <w:t xml:space="preserve"> </w:t>
      </w:r>
    </w:p>
    <w:p w:rsidR="00D038F6" w:rsidRPr="00D038F6" w:rsidRDefault="00D038F6" w:rsidP="00D038F6">
      <w:pPr>
        <w:rPr>
          <w:rFonts w:asciiTheme="majorHAnsi" w:hAnsiTheme="majorHAnsi"/>
          <w:b/>
          <w:sz w:val="22"/>
        </w:rPr>
      </w:pPr>
      <w:r w:rsidRPr="00D038F6">
        <w:rPr>
          <w:rFonts w:asciiTheme="majorHAnsi" w:hAnsiTheme="majorHAnsi"/>
          <w:b/>
          <w:sz w:val="22"/>
        </w:rPr>
        <w:t>14. Page 18 Section 2.3.5.1</w:t>
      </w:r>
    </w:p>
    <w:p w:rsidR="00D038F6" w:rsidRPr="00D038F6" w:rsidRDefault="00D038F6" w:rsidP="00D038F6">
      <w:pPr>
        <w:rPr>
          <w:rFonts w:asciiTheme="majorHAnsi" w:hAnsiTheme="majorHAnsi"/>
          <w:b/>
          <w:sz w:val="22"/>
        </w:rPr>
      </w:pPr>
      <w:r w:rsidRPr="00D038F6">
        <w:rPr>
          <w:rFonts w:asciiTheme="majorHAnsi" w:hAnsiTheme="majorHAnsi"/>
          <w:b/>
          <w:sz w:val="22"/>
        </w:rPr>
        <w:t>Remove:</w:t>
      </w:r>
      <w:r w:rsidRPr="00D038F6">
        <w:rPr>
          <w:rFonts w:asciiTheme="majorHAnsi" w:hAnsiTheme="majorHAnsi"/>
          <w:sz w:val="22"/>
        </w:rPr>
        <w:t xml:space="preserve"> </w:t>
      </w:r>
      <w:r w:rsidRPr="00D038F6">
        <w:rPr>
          <w:rFonts w:asciiTheme="majorHAnsi" w:hAnsiTheme="majorHAnsi"/>
          <w:b/>
          <w:sz w:val="22"/>
          <w:highlight w:val="yellow"/>
        </w:rPr>
        <w:t>b) extraction of minerals, petroleum resources and mineral aggregate resources in accordance with policies 2.4 and 2.5.</w:t>
      </w:r>
    </w:p>
    <w:p w:rsidR="00D038F6" w:rsidRPr="00D038F6" w:rsidRDefault="00D038F6" w:rsidP="00D038F6">
      <w:pPr>
        <w:rPr>
          <w:rFonts w:asciiTheme="majorHAnsi" w:hAnsiTheme="majorHAnsi"/>
          <w:b/>
          <w:sz w:val="22"/>
        </w:rPr>
      </w:pPr>
      <w:r w:rsidRPr="00D038F6">
        <w:rPr>
          <w:rFonts w:asciiTheme="majorHAnsi" w:hAnsiTheme="majorHAnsi"/>
          <w:b/>
          <w:sz w:val="22"/>
        </w:rPr>
        <w:t>Other comments:</w:t>
      </w:r>
    </w:p>
    <w:p w:rsidR="00D038F6" w:rsidRPr="00D038F6" w:rsidRDefault="00D038F6" w:rsidP="00D038F6">
      <w:pPr>
        <w:pStyle w:val="ListParagraph"/>
        <w:numPr>
          <w:ilvl w:val="0"/>
          <w:numId w:val="23"/>
        </w:numPr>
        <w:spacing w:after="0"/>
        <w:rPr>
          <w:rFonts w:asciiTheme="majorHAnsi" w:hAnsiTheme="majorHAnsi"/>
          <w:sz w:val="22"/>
          <w:highlight w:val="cyan"/>
        </w:rPr>
      </w:pPr>
      <w:r w:rsidRPr="00D038F6">
        <w:rPr>
          <w:rFonts w:asciiTheme="majorHAnsi" w:hAnsiTheme="majorHAnsi"/>
          <w:sz w:val="22"/>
          <w:highlight w:val="cyan"/>
        </w:rPr>
        <w:t xml:space="preserve">Include a Section specifically for Food. Possibly, this could come after the Waste Management section, as </w:t>
      </w:r>
      <w:r w:rsidRPr="00D038F6">
        <w:rPr>
          <w:rFonts w:asciiTheme="majorHAnsi" w:hAnsiTheme="majorHAnsi"/>
          <w:b/>
          <w:sz w:val="22"/>
          <w:highlight w:val="cyan"/>
        </w:rPr>
        <w:t>Section 1.6.9 Food</w:t>
      </w:r>
      <w:r w:rsidRPr="00D038F6">
        <w:rPr>
          <w:rFonts w:asciiTheme="majorHAnsi" w:hAnsiTheme="majorHAnsi"/>
          <w:sz w:val="22"/>
          <w:highlight w:val="cyan"/>
        </w:rPr>
        <w:t>. This would include points regarding equitable access to healthy food, strong regional food systems (including infrastructure), and urban agriculture as a land use, etc.  The argument here is the food is a public good like the other outlined sections (water, air quality, etc.)</w:t>
      </w:r>
    </w:p>
    <w:p w:rsidR="00D038F6" w:rsidRPr="00D038F6" w:rsidRDefault="00D038F6" w:rsidP="00D038F6">
      <w:pPr>
        <w:pStyle w:val="ListParagraph"/>
        <w:ind w:left="360"/>
        <w:rPr>
          <w:rFonts w:asciiTheme="majorHAnsi" w:hAnsiTheme="majorHAnsi"/>
          <w:sz w:val="22"/>
        </w:rPr>
      </w:pPr>
    </w:p>
    <w:p w:rsidR="00D038F6" w:rsidRPr="00D038F6" w:rsidRDefault="00D038F6" w:rsidP="00D038F6">
      <w:pPr>
        <w:pStyle w:val="ListParagraph"/>
        <w:numPr>
          <w:ilvl w:val="0"/>
          <w:numId w:val="23"/>
        </w:numPr>
        <w:spacing w:after="0"/>
        <w:rPr>
          <w:rFonts w:asciiTheme="majorHAnsi" w:hAnsiTheme="majorHAnsi"/>
          <w:sz w:val="22"/>
        </w:rPr>
      </w:pPr>
      <w:r w:rsidRPr="00D038F6">
        <w:rPr>
          <w:rFonts w:asciiTheme="majorHAnsi" w:hAnsiTheme="majorHAnsi"/>
          <w:sz w:val="22"/>
          <w:highlight w:val="cyan"/>
        </w:rPr>
        <w:t xml:space="preserve">There should also be a definition of </w:t>
      </w:r>
      <w:r w:rsidRPr="00D038F6">
        <w:rPr>
          <w:rFonts w:asciiTheme="majorHAnsi" w:hAnsiTheme="majorHAnsi"/>
          <w:i/>
          <w:sz w:val="22"/>
          <w:highlight w:val="cyan"/>
        </w:rPr>
        <w:t>urban agriculture</w:t>
      </w:r>
      <w:r w:rsidRPr="00D038F6">
        <w:rPr>
          <w:rFonts w:asciiTheme="majorHAnsi" w:hAnsiTheme="majorHAnsi"/>
          <w:sz w:val="22"/>
          <w:highlight w:val="cyan"/>
        </w:rPr>
        <w:t xml:space="preserve"> if the PPS is to include </w:t>
      </w:r>
      <w:r w:rsidRPr="00D038F6">
        <w:rPr>
          <w:rFonts w:asciiTheme="majorHAnsi" w:hAnsiTheme="majorHAnsi"/>
          <w:i/>
          <w:sz w:val="22"/>
          <w:highlight w:val="cyan"/>
        </w:rPr>
        <w:t>urban agriculture</w:t>
      </w:r>
      <w:r w:rsidRPr="00D038F6">
        <w:rPr>
          <w:rFonts w:asciiTheme="majorHAnsi" w:hAnsiTheme="majorHAnsi"/>
          <w:sz w:val="22"/>
          <w:highlight w:val="cyan"/>
        </w:rPr>
        <w:t>.</w:t>
      </w:r>
      <w:r w:rsidRPr="00D038F6">
        <w:rPr>
          <w:rFonts w:asciiTheme="majorHAnsi" w:hAnsiTheme="majorHAnsi"/>
          <w:sz w:val="22"/>
        </w:rPr>
        <w:t xml:space="preserve"> </w:t>
      </w:r>
    </w:p>
    <w:p w:rsidR="00D038F6" w:rsidRPr="00D038F6" w:rsidRDefault="00D038F6" w:rsidP="00D038F6">
      <w:pPr>
        <w:rPr>
          <w:rFonts w:asciiTheme="majorHAnsi" w:hAnsiTheme="majorHAnsi"/>
          <w:b/>
          <w:sz w:val="22"/>
        </w:rPr>
      </w:pPr>
    </w:p>
    <w:p w:rsidR="00D038F6" w:rsidRDefault="00D038F6" w:rsidP="00D038F6">
      <w:pPr>
        <w:rPr>
          <w:rFonts w:asciiTheme="majorHAnsi" w:hAnsiTheme="majorHAnsi"/>
          <w:sz w:val="22"/>
        </w:rPr>
      </w:pPr>
      <w:r>
        <w:rPr>
          <w:rFonts w:asciiTheme="majorHAnsi" w:hAnsiTheme="majorHAnsi"/>
          <w:sz w:val="22"/>
        </w:rPr>
        <w:t xml:space="preserve">Thank you for considering this submission to the </w:t>
      </w:r>
      <w:r w:rsidRPr="00D038F6">
        <w:rPr>
          <w:rFonts w:asciiTheme="majorHAnsi" w:hAnsiTheme="majorHAnsi"/>
          <w:sz w:val="22"/>
        </w:rPr>
        <w:t>Five-Year Review of the Provincial Policy Statement</w:t>
      </w:r>
      <w:r>
        <w:rPr>
          <w:rFonts w:asciiTheme="majorHAnsi" w:hAnsiTheme="majorHAnsi"/>
          <w:sz w:val="22"/>
        </w:rPr>
        <w:t>.</w:t>
      </w:r>
    </w:p>
    <w:p w:rsidR="00D038F6" w:rsidRDefault="00D038F6" w:rsidP="00D038F6">
      <w:pPr>
        <w:rPr>
          <w:rFonts w:asciiTheme="majorHAnsi" w:hAnsiTheme="majorHAnsi"/>
          <w:sz w:val="22"/>
        </w:rPr>
      </w:pPr>
      <w:r>
        <w:rPr>
          <w:rFonts w:asciiTheme="majorHAnsi" w:hAnsiTheme="majorHAnsi"/>
          <w:sz w:val="22"/>
        </w:rPr>
        <w:t>Sincerely,</w:t>
      </w:r>
    </w:p>
    <w:p w:rsidR="00D038F6" w:rsidRDefault="00D038F6" w:rsidP="00D038F6">
      <w:pPr>
        <w:rPr>
          <w:rFonts w:asciiTheme="majorHAnsi" w:hAnsiTheme="majorHAnsi"/>
          <w:sz w:val="22"/>
        </w:rPr>
      </w:pPr>
    </w:p>
    <w:p w:rsidR="00D038F6" w:rsidRDefault="00D038F6" w:rsidP="00D038F6">
      <w:pPr>
        <w:rPr>
          <w:rFonts w:asciiTheme="majorHAnsi" w:hAnsiTheme="majorHAnsi"/>
          <w:sz w:val="22"/>
        </w:rPr>
      </w:pPr>
    </w:p>
    <w:p w:rsidR="00D038F6" w:rsidRDefault="00D038F6" w:rsidP="00D038F6">
      <w:pPr>
        <w:rPr>
          <w:rFonts w:asciiTheme="majorHAnsi" w:hAnsiTheme="majorHAnsi"/>
          <w:sz w:val="22"/>
        </w:rPr>
      </w:pPr>
      <w:r>
        <w:rPr>
          <w:rFonts w:asciiTheme="majorHAnsi" w:hAnsiTheme="majorHAnsi"/>
          <w:sz w:val="22"/>
        </w:rPr>
        <w:t>Lauren Baker, PhD</w:t>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t>Tammara Soma</w:t>
      </w:r>
      <w:r>
        <w:rPr>
          <w:rFonts w:asciiTheme="majorHAnsi" w:hAnsiTheme="majorHAnsi"/>
          <w:sz w:val="22"/>
        </w:rPr>
        <w:tab/>
      </w:r>
      <w:r>
        <w:rPr>
          <w:rFonts w:asciiTheme="majorHAnsi" w:hAnsiTheme="majorHAnsi"/>
          <w:sz w:val="22"/>
        </w:rPr>
        <w:tab/>
      </w:r>
      <w:r>
        <w:rPr>
          <w:rFonts w:asciiTheme="majorHAnsi" w:hAnsiTheme="majorHAnsi"/>
          <w:sz w:val="22"/>
        </w:rPr>
        <w:br/>
        <w:t>Director</w:t>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r>
      <w:r>
        <w:rPr>
          <w:rFonts w:asciiTheme="majorHAnsi" w:hAnsiTheme="majorHAnsi"/>
          <w:sz w:val="22"/>
        </w:rPr>
        <w:tab/>
        <w:t>Food Systems Planner, Metcalf Foundation Intern</w:t>
      </w:r>
    </w:p>
    <w:p w:rsidR="00D038F6" w:rsidRPr="00D038F6" w:rsidRDefault="00D038F6" w:rsidP="00D038F6">
      <w:pPr>
        <w:rPr>
          <w:rFonts w:asciiTheme="majorHAnsi" w:hAnsiTheme="majorHAnsi"/>
          <w:sz w:val="22"/>
        </w:rPr>
      </w:pPr>
    </w:p>
    <w:p w:rsidR="00054A61" w:rsidRPr="00D038F6" w:rsidRDefault="00054A61" w:rsidP="00D038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Arial"/>
          <w:sz w:val="22"/>
          <w:szCs w:val="22"/>
        </w:rPr>
      </w:pPr>
    </w:p>
    <w:sectPr w:rsidR="00054A61" w:rsidRPr="00D038F6" w:rsidSect="00054A61">
      <w:footerReference w:type="default" r:id="rId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ndara">
    <w:panose1 w:val="020E0502030303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panose1 w:val="020E0507020206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witzerlandCondensedPSM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C76" w:rsidRDefault="001B2C76">
    <w:pPr>
      <w:pStyle w:val="Footer"/>
    </w:pPr>
    <w:r>
      <w:rPr>
        <w:noProof/>
      </w:rPr>
      <w:drawing>
        <wp:inline distT="0" distB="0" distL="0" distR="0">
          <wp:extent cx="5486400" cy="1097280"/>
          <wp:effectExtent l="25400" t="0" r="0" b="0"/>
          <wp:docPr id="1" name="Picture 0" descr="Sustain_footer_WordTemplat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stain_footer_WordTemplate.eps"/>
                  <pic:cNvPicPr/>
                </pic:nvPicPr>
                <ve:AlternateContent xmlns:ma="http://schemas.microsoft.com/office/mac/drawingml/2008/main">
                  <ve:Choice Requires="ma">
                    <pic:blipFill>
                      <a:blip r:embed="rId1"/>
                      <a:stretch>
                        <a:fillRect/>
                      </a:stretch>
                    </pic:blipFill>
                  </ve:Choice>
                  <ve:Fallback xmlns:ma="http://schemas.microsoft.com/office/mac/drawingml/2008/main" xmln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xmlns:a="http://schemas.openxmlformats.org/drawingml/2006/main" xmlns:pic="http://schemas.openxmlformats.org/drawingml/2006/picture">
                    <pic:blipFill>
                      <a:blip r:embed="rId2"/>
                      <a:stretch>
                        <a:fillRect/>
                      </a:stretch>
                    </pic:blipFill>
                  </ve:Fallback>
                </ve:AlternateContent>
                <pic:spPr>
                  <a:xfrm>
                    <a:off x="0" y="0"/>
                    <a:ext cx="5486400" cy="1097280"/>
                  </a:xfrm>
                  <a:prstGeom prst="rect">
                    <a:avLst/>
                  </a:prstGeom>
                </pic:spPr>
              </pic:pic>
            </a:graphicData>
          </a:graphic>
        </wp:inline>
      </w:drawing>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7009DF"/>
    <w:multiLevelType w:val="hybridMultilevel"/>
    <w:tmpl w:val="B1F6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804264"/>
    <w:multiLevelType w:val="hybridMultilevel"/>
    <w:tmpl w:val="A3D6C776"/>
    <w:lvl w:ilvl="0" w:tplc="252EA036">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3D19F3"/>
    <w:multiLevelType w:val="hybridMultilevel"/>
    <w:tmpl w:val="A55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F1FC4"/>
    <w:multiLevelType w:val="hybridMultilevel"/>
    <w:tmpl w:val="DA2A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26CBB"/>
    <w:multiLevelType w:val="hybridMultilevel"/>
    <w:tmpl w:val="044E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04793"/>
    <w:multiLevelType w:val="hybridMultilevel"/>
    <w:tmpl w:val="083A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513A0B"/>
    <w:multiLevelType w:val="hybridMultilevel"/>
    <w:tmpl w:val="146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C938FE"/>
    <w:multiLevelType w:val="hybridMultilevel"/>
    <w:tmpl w:val="437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B1BEF"/>
    <w:multiLevelType w:val="hybridMultilevel"/>
    <w:tmpl w:val="C548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F14B78"/>
    <w:multiLevelType w:val="hybridMultilevel"/>
    <w:tmpl w:val="1C928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E04C68"/>
    <w:multiLevelType w:val="hybridMultilevel"/>
    <w:tmpl w:val="10CE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F208A6"/>
    <w:multiLevelType w:val="hybridMultilevel"/>
    <w:tmpl w:val="DA02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F53B47"/>
    <w:multiLevelType w:val="hybridMultilevel"/>
    <w:tmpl w:val="873A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4211C3"/>
    <w:multiLevelType w:val="hybridMultilevel"/>
    <w:tmpl w:val="477262A2"/>
    <w:lvl w:ilvl="0" w:tplc="1F04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8A2694"/>
    <w:multiLevelType w:val="hybridMultilevel"/>
    <w:tmpl w:val="9B0E0D94"/>
    <w:lvl w:ilvl="0" w:tplc="7FCE8674">
      <w:start w:val="5"/>
      <w:numFmt w:val="bullet"/>
      <w:lvlText w:val="-"/>
      <w:lvlJc w:val="left"/>
      <w:pPr>
        <w:ind w:left="360" w:hanging="360"/>
      </w:pPr>
      <w:rPr>
        <w:rFonts w:ascii="Candara" w:eastAsiaTheme="minorHAnsi" w:hAnsi="Candar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8CB1B21"/>
    <w:multiLevelType w:val="hybridMultilevel"/>
    <w:tmpl w:val="477262A2"/>
    <w:lvl w:ilvl="0" w:tplc="1F043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D775E15"/>
    <w:multiLevelType w:val="hybridMultilevel"/>
    <w:tmpl w:val="163AE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DC922EF"/>
    <w:multiLevelType w:val="multilevel"/>
    <w:tmpl w:val="CA4C5C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941095"/>
    <w:multiLevelType w:val="hybridMultilevel"/>
    <w:tmpl w:val="BBA6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D04C23"/>
    <w:multiLevelType w:val="hybridMultilevel"/>
    <w:tmpl w:val="583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7B2ACB"/>
    <w:multiLevelType w:val="hybridMultilevel"/>
    <w:tmpl w:val="BFEA2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2745B"/>
    <w:multiLevelType w:val="hybridMultilevel"/>
    <w:tmpl w:val="67DE3A30"/>
    <w:lvl w:ilvl="0" w:tplc="B04855D4">
      <w:start w:val="1"/>
      <w:numFmt w:val="lowerLetter"/>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363653"/>
    <w:multiLevelType w:val="hybridMultilevel"/>
    <w:tmpl w:val="98F2E6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74A2161"/>
    <w:multiLevelType w:val="hybridMultilevel"/>
    <w:tmpl w:val="6124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0"/>
  </w:num>
  <w:num w:numId="4">
    <w:abstractNumId w:val="17"/>
  </w:num>
  <w:num w:numId="5">
    <w:abstractNumId w:val="13"/>
  </w:num>
  <w:num w:numId="6">
    <w:abstractNumId w:val="7"/>
  </w:num>
  <w:num w:numId="7">
    <w:abstractNumId w:val="9"/>
  </w:num>
  <w:num w:numId="8">
    <w:abstractNumId w:val="1"/>
  </w:num>
  <w:num w:numId="9">
    <w:abstractNumId w:val="12"/>
  </w:num>
  <w:num w:numId="10">
    <w:abstractNumId w:val="24"/>
  </w:num>
  <w:num w:numId="11">
    <w:abstractNumId w:val="11"/>
  </w:num>
  <w:num w:numId="12">
    <w:abstractNumId w:val="19"/>
  </w:num>
  <w:num w:numId="13">
    <w:abstractNumId w:val="3"/>
  </w:num>
  <w:num w:numId="14">
    <w:abstractNumId w:val="8"/>
  </w:num>
  <w:num w:numId="15">
    <w:abstractNumId w:val="10"/>
  </w:num>
  <w:num w:numId="16">
    <w:abstractNumId w:val="4"/>
  </w:num>
  <w:num w:numId="17">
    <w:abstractNumId w:val="5"/>
  </w:num>
  <w:num w:numId="18">
    <w:abstractNumId w:val="6"/>
  </w:num>
  <w:num w:numId="19">
    <w:abstractNumId w:val="18"/>
  </w:num>
  <w:num w:numId="20">
    <w:abstractNumId w:val="21"/>
  </w:num>
  <w:num w:numId="21">
    <w:abstractNumId w:val="22"/>
  </w:num>
  <w:num w:numId="22">
    <w:abstractNumId w:val="2"/>
  </w:num>
  <w:num w:numId="23">
    <w:abstractNumId w:val="15"/>
  </w:num>
  <w:num w:numId="24">
    <w:abstractNumId w:val="14"/>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compat>
    <w:doNotAutofitConstrainedTables/>
    <w:splitPgBreakAndParaMark/>
    <w:doNotVertAlignCellWithSp/>
    <w:doNotBreakConstrainedForcedTable/>
    <w:useAnsiKerningPairs/>
    <w:cachedColBalance/>
  </w:compat>
  <w:rsids>
    <w:rsidRoot w:val="004A6C0F"/>
    <w:rsid w:val="00041A45"/>
    <w:rsid w:val="00054A61"/>
    <w:rsid w:val="0005755C"/>
    <w:rsid w:val="000E7FA1"/>
    <w:rsid w:val="0011087E"/>
    <w:rsid w:val="001250EC"/>
    <w:rsid w:val="00153215"/>
    <w:rsid w:val="001B2C76"/>
    <w:rsid w:val="00204532"/>
    <w:rsid w:val="00393751"/>
    <w:rsid w:val="004A6C0F"/>
    <w:rsid w:val="00532FB0"/>
    <w:rsid w:val="0057158C"/>
    <w:rsid w:val="00591E44"/>
    <w:rsid w:val="005D3032"/>
    <w:rsid w:val="00605C71"/>
    <w:rsid w:val="006758DD"/>
    <w:rsid w:val="006A4F33"/>
    <w:rsid w:val="007C2B2D"/>
    <w:rsid w:val="007E592E"/>
    <w:rsid w:val="00A00D29"/>
    <w:rsid w:val="00A33C1B"/>
    <w:rsid w:val="00A75C9D"/>
    <w:rsid w:val="00AB3B60"/>
    <w:rsid w:val="00AF4A2A"/>
    <w:rsid w:val="00B6726C"/>
    <w:rsid w:val="00B767D0"/>
    <w:rsid w:val="00BA45ED"/>
    <w:rsid w:val="00C614FC"/>
    <w:rsid w:val="00C82D11"/>
    <w:rsid w:val="00D038F6"/>
    <w:rsid w:val="00DD2E81"/>
    <w:rsid w:val="00DF01F6"/>
    <w:rsid w:val="00E42F4C"/>
    <w:rsid w:val="00FE69C5"/>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F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4C3BEF"/>
    <w:rPr>
      <w:rFonts w:ascii="Lucida Grande" w:hAnsi="Lucida Grande"/>
      <w:sz w:val="18"/>
      <w:szCs w:val="18"/>
    </w:rPr>
  </w:style>
  <w:style w:type="character" w:customStyle="1" w:styleId="BalloonTextChar">
    <w:name w:val="Balloon Text Char"/>
    <w:basedOn w:val="DefaultParagraphFont"/>
    <w:link w:val="BalloonText"/>
    <w:uiPriority w:val="99"/>
    <w:semiHidden/>
    <w:rsid w:val="004C3BEF"/>
    <w:rPr>
      <w:rFonts w:ascii="Lucida Grande" w:hAnsi="Lucida Grande"/>
      <w:sz w:val="18"/>
      <w:szCs w:val="18"/>
    </w:rPr>
  </w:style>
  <w:style w:type="paragraph" w:styleId="Header">
    <w:name w:val="header"/>
    <w:basedOn w:val="Normal"/>
    <w:link w:val="HeaderChar"/>
    <w:uiPriority w:val="99"/>
    <w:semiHidden/>
    <w:unhideWhenUsed/>
    <w:rsid w:val="004A6C0F"/>
    <w:pPr>
      <w:tabs>
        <w:tab w:val="center" w:pos="4320"/>
        <w:tab w:val="right" w:pos="8640"/>
      </w:tabs>
      <w:spacing w:after="0"/>
    </w:pPr>
  </w:style>
  <w:style w:type="character" w:customStyle="1" w:styleId="HeaderChar">
    <w:name w:val="Header Char"/>
    <w:basedOn w:val="DefaultParagraphFont"/>
    <w:link w:val="Header"/>
    <w:uiPriority w:val="99"/>
    <w:semiHidden/>
    <w:rsid w:val="004A6C0F"/>
  </w:style>
  <w:style w:type="paragraph" w:styleId="Footer">
    <w:name w:val="footer"/>
    <w:basedOn w:val="Normal"/>
    <w:link w:val="FooterChar"/>
    <w:unhideWhenUsed/>
    <w:rsid w:val="004A6C0F"/>
    <w:pPr>
      <w:tabs>
        <w:tab w:val="center" w:pos="4320"/>
        <w:tab w:val="right" w:pos="8640"/>
      </w:tabs>
      <w:spacing w:after="0"/>
    </w:pPr>
  </w:style>
  <w:style w:type="character" w:customStyle="1" w:styleId="FooterChar">
    <w:name w:val="Footer Char"/>
    <w:basedOn w:val="DefaultParagraphFont"/>
    <w:link w:val="Footer"/>
    <w:rsid w:val="004A6C0F"/>
  </w:style>
  <w:style w:type="character" w:styleId="Hyperlink">
    <w:name w:val="Hyperlink"/>
    <w:basedOn w:val="DefaultParagraphFont"/>
    <w:rsid w:val="00BA45ED"/>
    <w:rPr>
      <w:color w:val="0000FF"/>
      <w:u w:val="single"/>
    </w:rPr>
  </w:style>
  <w:style w:type="paragraph" w:styleId="ListParagraph">
    <w:name w:val="List Paragraph"/>
    <w:basedOn w:val="Normal"/>
    <w:uiPriority w:val="34"/>
    <w:qFormat/>
    <w:rsid w:val="00BA45ED"/>
    <w:pPr>
      <w:ind w:left="720"/>
      <w:contextualSpacing/>
    </w:pPr>
  </w:style>
  <w:style w:type="character" w:styleId="Strong">
    <w:name w:val="Strong"/>
    <w:basedOn w:val="DefaultParagraphFont"/>
    <w:uiPriority w:val="22"/>
    <w:rsid w:val="00D038F6"/>
    <w:rPr>
      <w:b/>
    </w:rPr>
  </w:style>
  <w:style w:type="paragraph" w:customStyle="1" w:styleId="Default">
    <w:name w:val="Default"/>
    <w:rsid w:val="00D038F6"/>
    <w:pPr>
      <w:widowControl w:val="0"/>
      <w:autoSpaceDE w:val="0"/>
      <w:autoSpaceDN w:val="0"/>
      <w:adjustRightInd w:val="0"/>
      <w:spacing w:after="0"/>
    </w:pPr>
    <w:rPr>
      <w:rFonts w:ascii="Times New Roman" w:hAnsi="Times New Roman" w:cs="Times New Roman"/>
      <w:color w:val="000000"/>
    </w:rPr>
  </w:style>
  <w:style w:type="paragraph" w:customStyle="1" w:styleId="level1">
    <w:name w:val="_level1"/>
    <w:basedOn w:val="Default"/>
    <w:next w:val="Default"/>
    <w:uiPriority w:val="99"/>
    <w:rsid w:val="00D038F6"/>
    <w:rPr>
      <w:color w:val="auto"/>
    </w:rPr>
  </w:style>
  <w:style w:type="paragraph" w:customStyle="1" w:styleId="BodyTextIn">
    <w:name w:val="Body Text In"/>
    <w:basedOn w:val="Default"/>
    <w:next w:val="Default"/>
    <w:uiPriority w:val="99"/>
    <w:rsid w:val="00D038F6"/>
    <w:rPr>
      <w:color w:val="auto"/>
    </w:rPr>
  </w:style>
  <w:style w:type="paragraph" w:customStyle="1" w:styleId="BodyText21">
    <w:name w:val="Body Text 21"/>
    <w:basedOn w:val="Default"/>
    <w:next w:val="Default"/>
    <w:uiPriority w:val="99"/>
    <w:rsid w:val="00D038F6"/>
    <w:rPr>
      <w:color w:val="auto"/>
    </w:rPr>
  </w:style>
  <w:style w:type="paragraph" w:customStyle="1" w:styleId="WP9List3">
    <w:name w:val="WP9_List 3"/>
    <w:basedOn w:val="Default"/>
    <w:next w:val="Default"/>
    <w:uiPriority w:val="99"/>
    <w:rsid w:val="00D038F6"/>
    <w:rPr>
      <w:color w:val="auto"/>
    </w:rPr>
  </w:style>
  <w:style w:type="paragraph" w:customStyle="1" w:styleId="level5">
    <w:name w:val="_level5"/>
    <w:basedOn w:val="Default"/>
    <w:next w:val="Default"/>
    <w:uiPriority w:val="99"/>
    <w:rsid w:val="00D038F6"/>
    <w:rPr>
      <w:color w:val="auto"/>
    </w:rPr>
  </w:style>
  <w:style w:type="character" w:styleId="PageNumber">
    <w:name w:val="page number"/>
    <w:basedOn w:val="DefaultParagraphFont"/>
    <w:rsid w:val="00D038F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martinprosperity.org/research-and-publications"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df"/><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9440</Characters>
  <Application>Microsoft Macintosh Word</Application>
  <DocSecurity>0</DocSecurity>
  <Lines>78</Lines>
  <Paragraphs>18</Paragraphs>
  <ScaleCrop>false</ScaleCrop>
  <Company>Sustain Ontario</Company>
  <LinksUpToDate>false</LinksUpToDate>
  <CharactersWithSpaces>11592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Baker</dc:creator>
  <cp:keywords/>
  <cp:lastModifiedBy>Carolyn Young</cp:lastModifiedBy>
  <cp:revision>2</cp:revision>
  <cp:lastPrinted>2010-04-21T16:49:00Z</cp:lastPrinted>
  <dcterms:created xsi:type="dcterms:W3CDTF">2012-06-27T22:17:00Z</dcterms:created>
  <dcterms:modified xsi:type="dcterms:W3CDTF">2012-06-27T22:17:00Z</dcterms:modified>
</cp:coreProperties>
</file>