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A39EBD" w14:textId="77777777" w:rsidR="00F4203C" w:rsidRPr="00BA79C9" w:rsidRDefault="00F80C65" w:rsidP="00F4203C">
      <w:pPr>
        <w:rPr>
          <w:b/>
          <w:sz w:val="28"/>
          <w:szCs w:val="28"/>
        </w:rPr>
      </w:pPr>
      <w:r>
        <w:rPr>
          <w:b/>
          <w:sz w:val="28"/>
          <w:szCs w:val="28"/>
        </w:rPr>
        <w:t>Draft Backgrounder on Food Literacy and Student Nutrition</w:t>
      </w:r>
      <w:r w:rsidRPr="00BA79C9">
        <w:rPr>
          <w:b/>
          <w:sz w:val="28"/>
          <w:szCs w:val="28"/>
        </w:rPr>
        <w:t xml:space="preserve"> in Schools</w:t>
      </w:r>
    </w:p>
    <w:p w14:paraId="450DB664" w14:textId="77777777" w:rsidR="00F4203C" w:rsidRDefault="00F4203C" w:rsidP="00F4203C"/>
    <w:p w14:paraId="3A1AEC3A" w14:textId="77777777" w:rsidR="00F4203C" w:rsidRPr="00A42F19" w:rsidRDefault="00F80C65" w:rsidP="00F4203C">
      <w:pPr>
        <w:rPr>
          <w:b/>
        </w:rPr>
      </w:pPr>
      <w:r w:rsidRPr="00A42F19">
        <w:rPr>
          <w:b/>
        </w:rPr>
        <w:t>Introduction</w:t>
      </w:r>
    </w:p>
    <w:p w14:paraId="35E53501" w14:textId="77777777" w:rsidR="00F4203C" w:rsidRDefault="00F4203C" w:rsidP="00F4203C"/>
    <w:p w14:paraId="352F293A" w14:textId="77777777" w:rsidR="00F4203C" w:rsidRDefault="00F80C65" w:rsidP="00F4203C">
      <w:pPr>
        <w:ind w:firstLine="720"/>
      </w:pPr>
      <w:r>
        <w:t xml:space="preserve">Connecting children to good food through student nutrition programs and food literacy programming is an important way to teach children lifelong healthy eating habits. When children eat well at school, they both have better academic success, and better dietary habits. When they gain food literacy, or an understanding of where food comes from, how to grow it, how to cook it and how to choose healthy and nutritious options, this reduces the incidence of childhood obesity and other diet-related illnesses in their future. Food literacy and student nutrition programs also present an opportunity to build the market for Ontario foods directly through institutional purchases, and in the long-term by changing consumer behaviours. </w:t>
      </w:r>
    </w:p>
    <w:p w14:paraId="6D4D62F2" w14:textId="77777777" w:rsidR="00F4203C" w:rsidRDefault="00F4203C" w:rsidP="00F4203C">
      <w:pPr>
        <w:ind w:firstLine="720"/>
      </w:pPr>
    </w:p>
    <w:p w14:paraId="4CD9C5B0" w14:textId="77777777" w:rsidR="00F4203C" w:rsidRDefault="00F80C65" w:rsidP="00F4203C">
      <w:pPr>
        <w:ind w:firstLine="720"/>
      </w:pPr>
      <w:r>
        <w:t xml:space="preserve">This backgrounder reviews some of the essential issues that contribute to the need for food literacy and student nutrition programs in schools and recommendations that the Ontario government should adopt to incorporate it into the Local Food Act. The Local Food Act presents the right opportunity for the government of Ontario to demonstrate leadership in developing long-term markets for Ontario food and commitment to the health of Ontario’s children. </w:t>
      </w:r>
    </w:p>
    <w:p w14:paraId="5981E0CE" w14:textId="77777777" w:rsidR="00F4203C" w:rsidRDefault="00F4203C" w:rsidP="00F4203C"/>
    <w:p w14:paraId="669A1FF1" w14:textId="77777777" w:rsidR="00F4203C" w:rsidRDefault="00F4203C" w:rsidP="00F4203C"/>
    <w:p w14:paraId="41C849FA" w14:textId="77777777" w:rsidR="00F4203C" w:rsidRPr="00A42F19" w:rsidRDefault="00F80C65" w:rsidP="00F4203C">
      <w:pPr>
        <w:rPr>
          <w:b/>
        </w:rPr>
      </w:pPr>
      <w:r w:rsidRPr="00A42F19">
        <w:rPr>
          <w:b/>
        </w:rPr>
        <w:t>How do</w:t>
      </w:r>
      <w:r>
        <w:rPr>
          <w:b/>
        </w:rPr>
        <w:t xml:space="preserve"> </w:t>
      </w:r>
      <w:r w:rsidRPr="00A42F19">
        <w:rPr>
          <w:b/>
        </w:rPr>
        <w:t>food literacy</w:t>
      </w:r>
      <w:r>
        <w:rPr>
          <w:b/>
        </w:rPr>
        <w:t xml:space="preserve"> and student nutrition</w:t>
      </w:r>
      <w:r w:rsidRPr="00A42F19">
        <w:rPr>
          <w:b/>
        </w:rPr>
        <w:t xml:space="preserve"> </w:t>
      </w:r>
      <w:proofErr w:type="gramStart"/>
      <w:r w:rsidRPr="00A42F19">
        <w:rPr>
          <w:b/>
        </w:rPr>
        <w:t>contribute</w:t>
      </w:r>
      <w:proofErr w:type="gramEnd"/>
      <w:r w:rsidRPr="00A42F19">
        <w:rPr>
          <w:b/>
        </w:rPr>
        <w:t xml:space="preserve"> to a better Ontario?</w:t>
      </w:r>
    </w:p>
    <w:p w14:paraId="3BCAC51A" w14:textId="77777777" w:rsidR="00F4203C" w:rsidRDefault="00F4203C" w:rsidP="00F4203C"/>
    <w:p w14:paraId="6CF842A5" w14:textId="77777777" w:rsidR="00F4203C" w:rsidRDefault="00F80C65" w:rsidP="00F4203C">
      <w:r w:rsidRPr="00A42F19">
        <w:rPr>
          <w:u w:val="single"/>
        </w:rPr>
        <w:t>Reduce the incidences and costs of diet-related illness</w:t>
      </w:r>
    </w:p>
    <w:p w14:paraId="0B21A9BB" w14:textId="77777777" w:rsidR="00F4203C" w:rsidRDefault="00F4203C" w:rsidP="00F4203C"/>
    <w:p w14:paraId="25793317" w14:textId="77777777" w:rsidR="00F4203C" w:rsidRDefault="00F80C65" w:rsidP="00F4203C">
      <w:r>
        <w:tab/>
        <w:t>With 26% of school-aged children overweight or obese in Canada, increasing numbers of youth are at risk of developing respiratory disorders, orthopedic conditions, high cholesterol and Type 2 diabetes due to poor diet.</w:t>
      </w:r>
      <w:r>
        <w:rPr>
          <w:rStyle w:val="EndnoteReference"/>
        </w:rPr>
        <w:endnoteReference w:id="1"/>
      </w:r>
      <w:r>
        <w:t xml:space="preserve"> Unhealthy eating habits from childhood often extend into adulthood, amplifying the cost for the Ontario health care system of treating associated illnesses. Schools are in a unique position to reverse this trend with food literacy and student nutrition programs, by developing healthy eating habits, strong food skills, and knowledgeable eaters. </w:t>
      </w:r>
    </w:p>
    <w:p w14:paraId="35A9D020" w14:textId="77777777" w:rsidR="00F4203C" w:rsidRDefault="00F4203C" w:rsidP="00F4203C"/>
    <w:p w14:paraId="4EA21C23" w14:textId="77777777" w:rsidR="00F4203C" w:rsidRDefault="00F80C65" w:rsidP="004567A7">
      <w:pPr>
        <w:ind w:firstLine="720"/>
      </w:pPr>
      <w:r>
        <w:t>In addition, these initiatives have impressive support among Ontarians. Making food literacy part of the mainstream school curriculum is supported by 95% of Ontarians and a student nutrition program that provides children with one healthy meal per day is supported by 76% of Ontarians.</w:t>
      </w:r>
      <w:r>
        <w:rPr>
          <w:rStyle w:val="EndnoteReference"/>
        </w:rPr>
        <w:endnoteReference w:id="2"/>
      </w:r>
      <w:r>
        <w:t xml:space="preserve"> </w:t>
      </w:r>
    </w:p>
    <w:p w14:paraId="3C1E539D" w14:textId="77777777" w:rsidR="00F4203C" w:rsidRDefault="00F4203C" w:rsidP="00F4203C"/>
    <w:p w14:paraId="727A9343" w14:textId="77777777" w:rsidR="00F4203C" w:rsidRPr="004C1BF1" w:rsidRDefault="00F80C65" w:rsidP="00F4203C">
      <w:pPr>
        <w:rPr>
          <w:u w:val="single"/>
        </w:rPr>
      </w:pPr>
      <w:r>
        <w:rPr>
          <w:u w:val="single"/>
        </w:rPr>
        <w:t>Improve capacity to learn</w:t>
      </w:r>
    </w:p>
    <w:p w14:paraId="63705A63" w14:textId="77777777" w:rsidR="00F4203C" w:rsidRDefault="00F4203C" w:rsidP="00F4203C"/>
    <w:p w14:paraId="68487B47" w14:textId="77777777" w:rsidR="00F4203C" w:rsidRDefault="00F80C65" w:rsidP="00F4203C">
      <w:pPr>
        <w:ind w:firstLine="720"/>
      </w:pPr>
      <w:r>
        <w:t>Well-nourished children are better able to learn in school, be active, and maintain a healthy lifestyle into adulthood.</w:t>
      </w:r>
      <w:r>
        <w:rPr>
          <w:rStyle w:val="EndnoteReference"/>
        </w:rPr>
        <w:endnoteReference w:id="3"/>
      </w:r>
      <w:r>
        <w:t xml:space="preserve"> Often, breakfasts, snacks or lunches provided by student nutrition programs are the only meal or the only healthy meal </w:t>
      </w:r>
      <w:r>
        <w:lastRenderedPageBreak/>
        <w:t>that students eat during the day.</w:t>
      </w:r>
      <w:r>
        <w:rPr>
          <w:rStyle w:val="EndnoteReference"/>
        </w:rPr>
        <w:endnoteReference w:id="4"/>
      </w:r>
      <w:r>
        <w:t xml:space="preserve"> A vast body of evidence shows that student nutrition programs contribute significantly to reducing tardiness and illness, and to improving students’ behaviours in class, and abilities to concentrate, retain and apply information.</w:t>
      </w:r>
      <w:r>
        <w:rPr>
          <w:rStyle w:val="EndnoteReference"/>
        </w:rPr>
        <w:endnoteReference w:id="5"/>
      </w:r>
      <w:r>
        <w:t xml:space="preserve"> </w:t>
      </w:r>
      <w:r>
        <w:rPr>
          <w:rStyle w:val="EndnoteReference"/>
        </w:rPr>
        <w:endnoteReference w:id="6"/>
      </w:r>
      <w:r>
        <w:t xml:space="preserve"> </w:t>
      </w:r>
    </w:p>
    <w:p w14:paraId="3FAE418A" w14:textId="77777777" w:rsidR="00F4203C" w:rsidRDefault="00F4203C" w:rsidP="00F4203C"/>
    <w:p w14:paraId="1B151072" w14:textId="77777777" w:rsidR="00F4203C" w:rsidRPr="00A42F19" w:rsidDel="000574C3" w:rsidRDefault="00F80C65" w:rsidP="004567A7">
      <w:pPr>
        <w:ind w:firstLine="720"/>
      </w:pPr>
      <w:r>
        <w:t xml:space="preserve">Additionally, food focused activities like gardens and culinary programs can help to bring education to life for children, especially when linked to the curriculum. By taking learning outside of the classroom and into real-world settings children become more engaged in learning about topics from math and science to English and history. </w:t>
      </w:r>
    </w:p>
    <w:p w14:paraId="12249991" w14:textId="77777777" w:rsidR="00F4203C" w:rsidRDefault="00F4203C" w:rsidP="00F4203C"/>
    <w:p w14:paraId="21241357" w14:textId="77777777" w:rsidR="00F4203C" w:rsidRPr="00CC43C3" w:rsidRDefault="00F80C65" w:rsidP="00F4203C">
      <w:pPr>
        <w:rPr>
          <w:u w:val="single"/>
        </w:rPr>
      </w:pPr>
      <w:r>
        <w:rPr>
          <w:u w:val="single"/>
        </w:rPr>
        <w:t xml:space="preserve">Enhance Ontario’s </w:t>
      </w:r>
      <w:r w:rsidRPr="00CC43C3">
        <w:rPr>
          <w:u w:val="single"/>
        </w:rPr>
        <w:t>Economic Resilience</w:t>
      </w:r>
    </w:p>
    <w:p w14:paraId="0006A4E9" w14:textId="77777777" w:rsidR="00F4203C" w:rsidRDefault="00F4203C" w:rsidP="00F4203C"/>
    <w:p w14:paraId="19F129E1" w14:textId="77777777" w:rsidR="00F4203C" w:rsidRDefault="00F80C65" w:rsidP="00F4203C">
      <w:pPr>
        <w:ind w:firstLine="720"/>
      </w:pPr>
      <w:r>
        <w:t xml:space="preserve">Ontario Schools purchase millions of dollars of food annually to feed children through student nutrition programs. Shifting some of those dollars to purchasing Ontario food would create new markets for Ontario products and an influx of resources into the Ontario Economy. </w:t>
      </w:r>
    </w:p>
    <w:p w14:paraId="53E06F29" w14:textId="77777777" w:rsidR="00F4203C" w:rsidRDefault="00F4203C" w:rsidP="00F4203C">
      <w:pPr>
        <w:ind w:firstLine="720"/>
      </w:pPr>
    </w:p>
    <w:p w14:paraId="641557E5" w14:textId="77777777" w:rsidR="00F4203C" w:rsidRDefault="00F80C65" w:rsidP="00F4203C">
      <w:pPr>
        <w:ind w:firstLine="720"/>
      </w:pPr>
      <w:r>
        <w:t xml:space="preserve">Further, teaching children to prefer local food through education and by getting them accustomed to eating local food in nutrition programs changes consumer behaviours. As with recycling and smoking cessation it has been shown that children can influence their parents’ behaviour. Additionally, these programs will form habits and beliefs that will ensure that Ontario food will be preferred in the future. </w:t>
      </w:r>
      <w:bookmarkStart w:id="0" w:name="_GoBack"/>
      <w:bookmarkEnd w:id="0"/>
    </w:p>
    <w:p w14:paraId="21D9D851" w14:textId="77777777" w:rsidR="00F4203C" w:rsidRDefault="00F4203C" w:rsidP="00F4203C"/>
    <w:p w14:paraId="3D4C5306" w14:textId="77777777" w:rsidR="00F4203C" w:rsidRPr="00A42F19" w:rsidRDefault="00F80C65" w:rsidP="00F4203C">
      <w:pPr>
        <w:rPr>
          <w:b/>
        </w:rPr>
      </w:pPr>
      <w:r w:rsidRPr="00A42F19">
        <w:rPr>
          <w:b/>
        </w:rPr>
        <w:t>Recommendations</w:t>
      </w:r>
    </w:p>
    <w:p w14:paraId="3419DE7A" w14:textId="77777777" w:rsidR="00F4203C" w:rsidRDefault="00F4203C" w:rsidP="00F4203C"/>
    <w:p w14:paraId="5F78CB3B" w14:textId="77777777" w:rsidR="004723ED" w:rsidRDefault="00F80C65" w:rsidP="00F4203C">
      <w:r>
        <w:sym w:font="Wingdings" w:char="F0E0"/>
      </w:r>
      <w:r>
        <w:t xml:space="preserve"> </w:t>
      </w:r>
      <w:r w:rsidR="00F4203C">
        <w:t>Create a provincial food literacy and student nutrition policy framework</w:t>
      </w:r>
    </w:p>
    <w:p w14:paraId="38197944" w14:textId="77777777" w:rsidR="00F4203C" w:rsidRDefault="004723ED" w:rsidP="001C2B91">
      <w:pPr>
        <w:pStyle w:val="ListParagraph"/>
        <w:numPr>
          <w:ilvl w:val="0"/>
          <w:numId w:val="10"/>
        </w:numPr>
      </w:pPr>
      <w:r>
        <w:t>S</w:t>
      </w:r>
      <w:r w:rsidR="00FD5850">
        <w:t>chool boards should</w:t>
      </w:r>
      <w:r w:rsidR="00F4203C">
        <w:t xml:space="preserve"> </w:t>
      </w:r>
      <w:r>
        <w:t xml:space="preserve">develop a mandatory </w:t>
      </w:r>
      <w:r w:rsidR="00FD5850">
        <w:t xml:space="preserve">food literacy and student nutrition </w:t>
      </w:r>
      <w:r>
        <w:t xml:space="preserve">policy based on the framework that reflects their local circumstances. </w:t>
      </w:r>
    </w:p>
    <w:p w14:paraId="444DEF95" w14:textId="77777777" w:rsidR="00FD5850" w:rsidRDefault="00FD5850" w:rsidP="001C2B91">
      <w:pPr>
        <w:pStyle w:val="ListParagraph"/>
        <w:numPr>
          <w:ilvl w:val="0"/>
          <w:numId w:val="10"/>
        </w:numPr>
      </w:pPr>
      <w:r>
        <w:t xml:space="preserve">The policy will inform programs and curriculum initiatives that deepen student food literacy and nutrition. </w:t>
      </w:r>
    </w:p>
    <w:p w14:paraId="7CED04B6" w14:textId="77777777" w:rsidR="00F4203C" w:rsidDel="00282F6F" w:rsidRDefault="00F4203C" w:rsidP="00F4203C"/>
    <w:p w14:paraId="2BDAB54D" w14:textId="77777777" w:rsidR="00F4203C" w:rsidRDefault="00F80C65" w:rsidP="00F4203C">
      <w:r>
        <w:sym w:font="Wingdings" w:char="F0E0"/>
      </w:r>
      <w:r>
        <w:t>Support the establishment of</w:t>
      </w:r>
      <w:r w:rsidRPr="00E432CC">
        <w:t xml:space="preserve"> children’s ga</w:t>
      </w:r>
      <w:r>
        <w:t>rdens, composters and culinary programs in schools</w:t>
      </w:r>
      <w:r>
        <w:rPr>
          <w:rStyle w:val="EndnoteReference"/>
        </w:rPr>
        <w:endnoteReference w:id="7"/>
      </w:r>
    </w:p>
    <w:p w14:paraId="006A1621" w14:textId="77777777" w:rsidR="00F4203C" w:rsidRDefault="00F80C65" w:rsidP="00F4203C">
      <w:pPr>
        <w:pStyle w:val="ListParagraph"/>
        <w:numPr>
          <w:ilvl w:val="0"/>
          <w:numId w:val="7"/>
        </w:numPr>
      </w:pPr>
      <w:r>
        <w:t>Build all new schools with a kitchen, cafeteria, and a garden</w:t>
      </w:r>
      <w:r>
        <w:rPr>
          <w:rStyle w:val="EndnoteReference"/>
        </w:rPr>
        <w:endnoteReference w:id="8"/>
      </w:r>
    </w:p>
    <w:p w14:paraId="00DFAA96" w14:textId="77777777" w:rsidR="00F4203C" w:rsidRDefault="00F80C65" w:rsidP="00F4203C">
      <w:pPr>
        <w:pStyle w:val="ListParagraph"/>
        <w:numPr>
          <w:ilvl w:val="0"/>
          <w:numId w:val="7"/>
        </w:numPr>
      </w:pPr>
      <w:r>
        <w:t>Provide resources to support existing schools in building gardens, kitchens and cafeterias</w:t>
      </w:r>
    </w:p>
    <w:p w14:paraId="1F9FF19F" w14:textId="77777777" w:rsidR="00F4203C" w:rsidRDefault="00F4203C" w:rsidP="004567A7"/>
    <w:p w14:paraId="5605176B" w14:textId="77777777" w:rsidR="00F4203C" w:rsidRDefault="00F4203C" w:rsidP="00F4203C"/>
    <w:p w14:paraId="1C604D56" w14:textId="77777777" w:rsidR="00F4203C" w:rsidRDefault="00F80C65" w:rsidP="00F4203C">
      <w:r>
        <w:sym w:font="Wingdings" w:char="F0E0"/>
      </w:r>
      <w:r>
        <w:t xml:space="preserve"> Support activities</w:t>
      </w:r>
      <w:r w:rsidRPr="00E432CC">
        <w:t xml:space="preserve"> outside of the classroom to edu</w:t>
      </w:r>
      <w:r>
        <w:t>cate children</w:t>
      </w:r>
      <w:r w:rsidRPr="00E432CC">
        <w:t xml:space="preserve"> about food</w:t>
      </w:r>
      <w:r>
        <w:rPr>
          <w:rStyle w:val="EndnoteReference"/>
        </w:rPr>
        <w:endnoteReference w:id="9"/>
      </w:r>
    </w:p>
    <w:p w14:paraId="358395CA" w14:textId="77777777" w:rsidR="00F4203C" w:rsidRDefault="00F80C65" w:rsidP="00F4203C">
      <w:pPr>
        <w:pStyle w:val="ListParagraph"/>
        <w:numPr>
          <w:ilvl w:val="0"/>
          <w:numId w:val="7"/>
        </w:numPr>
      </w:pPr>
      <w:r>
        <w:t>Prioritize food focused jobs in existing youth summer employment initiatives</w:t>
      </w:r>
    </w:p>
    <w:p w14:paraId="14162D0B" w14:textId="77777777" w:rsidR="00F4203C" w:rsidRDefault="00F80C65" w:rsidP="004567A7">
      <w:pPr>
        <w:pStyle w:val="ListParagraph"/>
        <w:numPr>
          <w:ilvl w:val="0"/>
          <w:numId w:val="7"/>
        </w:numPr>
      </w:pPr>
      <w:r>
        <w:t xml:space="preserve">Support programs that enable children to visit farms and community food initiatives. </w:t>
      </w:r>
    </w:p>
    <w:p w14:paraId="31CABD7D" w14:textId="77777777" w:rsidR="00F4203C" w:rsidRDefault="00F4203C" w:rsidP="00F4203C"/>
    <w:p w14:paraId="49D42A9E" w14:textId="77777777" w:rsidR="00F4203C" w:rsidRDefault="00F80C65" w:rsidP="00F4203C">
      <w:r>
        <w:sym w:font="Wingdings" w:char="F0E0"/>
      </w:r>
      <w:r>
        <w:t xml:space="preserve"> Develop fresh, local procurement policies for schools</w:t>
      </w:r>
    </w:p>
    <w:p w14:paraId="6B73D0CE" w14:textId="77777777" w:rsidR="00F4203C" w:rsidRDefault="00F80C65" w:rsidP="00F4203C">
      <w:pPr>
        <w:pStyle w:val="ListParagraph"/>
        <w:numPr>
          <w:ilvl w:val="0"/>
          <w:numId w:val="5"/>
        </w:numPr>
      </w:pPr>
      <w:r>
        <w:t>Develop fresh, local food procurement targets for schools and build these requirements into contracts with food suppliers.</w:t>
      </w:r>
    </w:p>
    <w:p w14:paraId="551E4DC5" w14:textId="77777777" w:rsidR="00F4203C" w:rsidRPr="00E432CC" w:rsidRDefault="00F80C65" w:rsidP="00F4203C">
      <w:pPr>
        <w:pStyle w:val="ListParagraph"/>
        <w:numPr>
          <w:ilvl w:val="0"/>
          <w:numId w:val="5"/>
        </w:numPr>
      </w:pPr>
      <w:r>
        <w:t>Provide incentives and training to enable schools to meet the procurement targets.</w:t>
      </w:r>
    </w:p>
    <w:p w14:paraId="069A5DCE" w14:textId="77777777" w:rsidR="00F4203C" w:rsidRDefault="00F4203C" w:rsidP="00F4203C"/>
    <w:p w14:paraId="6B0D5624" w14:textId="77777777" w:rsidR="00F4203C" w:rsidRDefault="00F80C65" w:rsidP="00F4203C">
      <w:r>
        <w:sym w:font="Wingdings" w:char="F0E0"/>
      </w:r>
      <w:r>
        <w:t xml:space="preserve"> Ensure </w:t>
      </w:r>
      <w:r w:rsidRPr="00E432CC">
        <w:t>access to adequate nutrition</w:t>
      </w:r>
      <w:r>
        <w:t xml:space="preserve"> in schools</w:t>
      </w:r>
    </w:p>
    <w:p w14:paraId="79AE86A8" w14:textId="77777777" w:rsidR="00F4203C" w:rsidRDefault="00F80C65" w:rsidP="00F4203C">
      <w:pPr>
        <w:pStyle w:val="ListParagraph"/>
        <w:numPr>
          <w:ilvl w:val="0"/>
          <w:numId w:val="7"/>
        </w:numPr>
      </w:pPr>
      <w:r>
        <w:t xml:space="preserve">Continue and expand funds for the Student Nutrition Program </w:t>
      </w:r>
    </w:p>
    <w:p w14:paraId="3770C44E" w14:textId="77777777" w:rsidR="00F4203C" w:rsidRDefault="00F80C65" w:rsidP="00F4203C">
      <w:pPr>
        <w:pStyle w:val="ListParagraph"/>
        <w:numPr>
          <w:ilvl w:val="0"/>
          <w:numId w:val="7"/>
        </w:numPr>
      </w:pPr>
      <w:r>
        <w:t>Ensure that the provincial Student Nutrition Program is accessible to all children</w:t>
      </w:r>
    </w:p>
    <w:p w14:paraId="7C27C61D" w14:textId="77777777" w:rsidR="00F4203C" w:rsidRDefault="00F80C65" w:rsidP="00F4203C">
      <w:pPr>
        <w:pStyle w:val="ListParagraph"/>
        <w:numPr>
          <w:ilvl w:val="0"/>
          <w:numId w:val="7"/>
        </w:numPr>
      </w:pPr>
      <w:r>
        <w:t>Lobby the federal government to create a National Student Nutrition Program that serves all children</w:t>
      </w:r>
    </w:p>
    <w:p w14:paraId="1CE84850" w14:textId="77777777" w:rsidR="00F4203C" w:rsidRDefault="00F4203C" w:rsidP="00F4203C"/>
    <w:p w14:paraId="162AEF9E" w14:textId="77777777" w:rsidR="00F4203C" w:rsidRDefault="00F80C65" w:rsidP="00F4203C">
      <w:r>
        <w:sym w:font="Wingdings" w:char="F0E0"/>
      </w:r>
      <w:r>
        <w:t xml:space="preserve"> Reduce children’s exposure to unhealthy foods and beverages</w:t>
      </w:r>
    </w:p>
    <w:p w14:paraId="08374FFA" w14:textId="77777777" w:rsidR="00F4203C" w:rsidRDefault="00F80C65" w:rsidP="00F4203C">
      <w:pPr>
        <w:pStyle w:val="ListParagraph"/>
        <w:numPr>
          <w:ilvl w:val="0"/>
          <w:numId w:val="6"/>
        </w:numPr>
      </w:pPr>
      <w:r>
        <w:t>Protect children from targeted advertising of unhealthy food and beverages</w:t>
      </w:r>
      <w:r>
        <w:rPr>
          <w:rStyle w:val="EndnoteReference"/>
        </w:rPr>
        <w:endnoteReference w:id="10"/>
      </w:r>
      <w:r>
        <w:t xml:space="preserve"> </w:t>
      </w:r>
      <w:r>
        <w:rPr>
          <w:rStyle w:val="EndnoteReference"/>
        </w:rPr>
        <w:endnoteReference w:id="11"/>
      </w:r>
    </w:p>
    <w:p w14:paraId="4D03D98D" w14:textId="77777777" w:rsidR="00F4203C" w:rsidRDefault="00F80C65" w:rsidP="00F4203C">
      <w:pPr>
        <w:pStyle w:val="ListParagraph"/>
        <w:numPr>
          <w:ilvl w:val="0"/>
          <w:numId w:val="6"/>
        </w:numPr>
      </w:pPr>
      <w:r>
        <w:t>Provide incentives for schools to stop selling unhealthy food and beverages.</w:t>
      </w:r>
    </w:p>
    <w:p w14:paraId="27BDC4C0" w14:textId="77777777" w:rsidR="00F4203C" w:rsidRDefault="00F4203C" w:rsidP="00F4203C"/>
    <w:sectPr w:rsidR="00F4203C" w:rsidSect="00F4203C">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6FDCF2" w14:textId="77777777" w:rsidR="004723ED" w:rsidRDefault="004723ED" w:rsidP="00F4203C">
      <w:r>
        <w:separator/>
      </w:r>
    </w:p>
  </w:endnote>
  <w:endnote w:type="continuationSeparator" w:id="0">
    <w:p w14:paraId="01782F55" w14:textId="77777777" w:rsidR="004723ED" w:rsidRDefault="004723ED" w:rsidP="00F4203C">
      <w:r>
        <w:continuationSeparator/>
      </w:r>
    </w:p>
  </w:endnote>
  <w:endnote w:id="1">
    <w:p w14:paraId="30335D16" w14:textId="77777777" w:rsidR="004723ED" w:rsidRPr="00CC43C3" w:rsidRDefault="004723ED">
      <w:pPr>
        <w:pStyle w:val="EndnoteText"/>
        <w:rPr>
          <w:sz w:val="20"/>
          <w:szCs w:val="20"/>
        </w:rPr>
      </w:pPr>
      <w:r w:rsidRPr="00CC43C3">
        <w:rPr>
          <w:rStyle w:val="EndnoteReference"/>
          <w:sz w:val="20"/>
          <w:szCs w:val="20"/>
        </w:rPr>
        <w:endnoteRef/>
      </w:r>
      <w:r w:rsidRPr="00CC43C3">
        <w:rPr>
          <w:sz w:val="20"/>
          <w:szCs w:val="20"/>
        </w:rPr>
        <w:t xml:space="preserve"> Statistics Canada. 2006. “Childhood Obesity: A Troubling Situation.” </w:t>
      </w:r>
      <w:proofErr w:type="gramStart"/>
      <w:r w:rsidRPr="00CC43C3">
        <w:rPr>
          <w:sz w:val="20"/>
          <w:szCs w:val="20"/>
        </w:rPr>
        <w:t>Canada Year Book.</w:t>
      </w:r>
      <w:proofErr w:type="gramEnd"/>
    </w:p>
  </w:endnote>
  <w:endnote w:id="2">
    <w:p w14:paraId="3D86EAB6" w14:textId="77777777" w:rsidR="004723ED" w:rsidRPr="00CC43C3" w:rsidRDefault="004723ED">
      <w:pPr>
        <w:pStyle w:val="EndnoteText"/>
        <w:rPr>
          <w:sz w:val="20"/>
          <w:szCs w:val="20"/>
        </w:rPr>
      </w:pPr>
      <w:r w:rsidRPr="00CC43C3">
        <w:rPr>
          <w:rStyle w:val="EndnoteReference"/>
          <w:sz w:val="20"/>
          <w:szCs w:val="20"/>
        </w:rPr>
        <w:endnoteRef/>
      </w:r>
      <w:r w:rsidRPr="00CC43C3">
        <w:rPr>
          <w:sz w:val="20"/>
          <w:szCs w:val="20"/>
        </w:rPr>
        <w:t xml:space="preserve"> </w:t>
      </w:r>
      <w:proofErr w:type="spellStart"/>
      <w:r w:rsidRPr="00CC43C3">
        <w:rPr>
          <w:sz w:val="20"/>
          <w:szCs w:val="20"/>
        </w:rPr>
        <w:t>FoodShare</w:t>
      </w:r>
      <w:proofErr w:type="spellEnd"/>
      <w:r w:rsidRPr="00CC43C3">
        <w:rPr>
          <w:sz w:val="20"/>
          <w:szCs w:val="20"/>
        </w:rPr>
        <w:t xml:space="preserve">. 2010. “Ontario Online Polling Results.” Strategic Communications Inc. </w:t>
      </w:r>
    </w:p>
  </w:endnote>
  <w:endnote w:id="3">
    <w:p w14:paraId="7BE71A29" w14:textId="77777777" w:rsidR="004723ED" w:rsidRPr="00CC43C3" w:rsidRDefault="004723ED">
      <w:pPr>
        <w:pStyle w:val="EndnoteText"/>
        <w:rPr>
          <w:sz w:val="20"/>
          <w:szCs w:val="20"/>
        </w:rPr>
      </w:pPr>
      <w:r w:rsidRPr="00CC43C3">
        <w:rPr>
          <w:rStyle w:val="EndnoteReference"/>
          <w:sz w:val="20"/>
          <w:szCs w:val="20"/>
        </w:rPr>
        <w:endnoteRef/>
      </w:r>
      <w:r w:rsidRPr="00CC43C3">
        <w:rPr>
          <w:sz w:val="20"/>
          <w:szCs w:val="20"/>
        </w:rPr>
        <w:t xml:space="preserve"> </w:t>
      </w:r>
      <w:proofErr w:type="gramStart"/>
      <w:r w:rsidRPr="00CC43C3">
        <w:rPr>
          <w:sz w:val="20"/>
          <w:szCs w:val="20"/>
        </w:rPr>
        <w:t>Toronto Youth Food Policy Council.</w:t>
      </w:r>
      <w:proofErr w:type="gramEnd"/>
      <w:r w:rsidRPr="00CC43C3">
        <w:rPr>
          <w:sz w:val="20"/>
          <w:szCs w:val="20"/>
        </w:rPr>
        <w:t xml:space="preserve"> 2011. “Food Literacy in Education.” </w:t>
      </w:r>
      <w:proofErr w:type="gramStart"/>
      <w:r w:rsidRPr="00CC43C3">
        <w:rPr>
          <w:sz w:val="20"/>
          <w:szCs w:val="20"/>
        </w:rPr>
        <w:t>Research and Policy.</w:t>
      </w:r>
      <w:proofErr w:type="gramEnd"/>
    </w:p>
  </w:endnote>
  <w:endnote w:id="4">
    <w:p w14:paraId="6BE39320" w14:textId="77777777" w:rsidR="004723ED" w:rsidRPr="00CC43C3" w:rsidRDefault="004723ED">
      <w:pPr>
        <w:pStyle w:val="EndnoteText"/>
        <w:rPr>
          <w:sz w:val="20"/>
          <w:szCs w:val="20"/>
        </w:rPr>
      </w:pPr>
      <w:r w:rsidRPr="00CC43C3">
        <w:rPr>
          <w:rStyle w:val="EndnoteReference"/>
          <w:sz w:val="20"/>
          <w:szCs w:val="20"/>
        </w:rPr>
        <w:endnoteRef/>
      </w:r>
      <w:r w:rsidRPr="00CC43C3">
        <w:rPr>
          <w:sz w:val="20"/>
          <w:szCs w:val="20"/>
        </w:rPr>
        <w:t xml:space="preserve"> </w:t>
      </w:r>
      <w:proofErr w:type="spellStart"/>
      <w:proofErr w:type="gramStart"/>
      <w:r w:rsidRPr="00CC43C3">
        <w:rPr>
          <w:sz w:val="20"/>
          <w:szCs w:val="20"/>
        </w:rPr>
        <w:t>Muthuswamy</w:t>
      </w:r>
      <w:proofErr w:type="spellEnd"/>
      <w:r w:rsidRPr="00CC43C3">
        <w:rPr>
          <w:sz w:val="20"/>
          <w:szCs w:val="20"/>
        </w:rPr>
        <w:t>, E. 2012.</w:t>
      </w:r>
      <w:proofErr w:type="gramEnd"/>
      <w:r w:rsidRPr="00CC43C3">
        <w:rPr>
          <w:sz w:val="20"/>
          <w:szCs w:val="20"/>
        </w:rPr>
        <w:t xml:space="preserve"> “Feeding Our Future: The First- and Second-Year Evaluation.” </w:t>
      </w:r>
      <w:proofErr w:type="gramStart"/>
      <w:r w:rsidRPr="00CC43C3">
        <w:rPr>
          <w:sz w:val="20"/>
          <w:szCs w:val="20"/>
        </w:rPr>
        <w:t>Toronto District School Board.</w:t>
      </w:r>
      <w:proofErr w:type="gramEnd"/>
    </w:p>
  </w:endnote>
  <w:endnote w:id="5">
    <w:p w14:paraId="149012C3" w14:textId="77777777" w:rsidR="004723ED" w:rsidRPr="00CC43C3" w:rsidRDefault="004723ED">
      <w:pPr>
        <w:pStyle w:val="EndnoteText"/>
        <w:rPr>
          <w:sz w:val="20"/>
          <w:szCs w:val="20"/>
        </w:rPr>
      </w:pPr>
      <w:r w:rsidRPr="00CC43C3">
        <w:rPr>
          <w:rStyle w:val="EndnoteReference"/>
          <w:sz w:val="20"/>
          <w:szCs w:val="20"/>
        </w:rPr>
        <w:endnoteRef/>
      </w:r>
      <w:r w:rsidRPr="00CC43C3">
        <w:rPr>
          <w:sz w:val="20"/>
          <w:szCs w:val="20"/>
        </w:rPr>
        <w:t xml:space="preserve"> Sustain Ontario. 2011. “Good Food Policies for Education.” Retrieved from: </w:t>
      </w:r>
      <w:hyperlink r:id="rId1" w:history="1">
        <w:r w:rsidRPr="00CC43C3">
          <w:rPr>
            <w:rStyle w:val="Hyperlink"/>
            <w:sz w:val="20"/>
            <w:szCs w:val="20"/>
          </w:rPr>
          <w:t>http://sustainontario.com/initiatives/policies/gfpps-sector/good-food-policies-for-education</w:t>
        </w:r>
      </w:hyperlink>
      <w:r w:rsidRPr="00CC43C3">
        <w:rPr>
          <w:sz w:val="20"/>
          <w:szCs w:val="20"/>
        </w:rPr>
        <w:t xml:space="preserve">.  </w:t>
      </w:r>
    </w:p>
  </w:endnote>
  <w:endnote w:id="6">
    <w:p w14:paraId="762C781C" w14:textId="77777777" w:rsidR="004723ED" w:rsidRPr="00CC43C3" w:rsidRDefault="004723ED">
      <w:pPr>
        <w:pStyle w:val="EndnoteText"/>
        <w:rPr>
          <w:sz w:val="20"/>
          <w:szCs w:val="20"/>
        </w:rPr>
      </w:pPr>
      <w:r w:rsidRPr="00CC43C3">
        <w:rPr>
          <w:rStyle w:val="EndnoteReference"/>
          <w:sz w:val="20"/>
          <w:szCs w:val="20"/>
        </w:rPr>
        <w:endnoteRef/>
      </w:r>
      <w:r w:rsidRPr="00CC43C3">
        <w:rPr>
          <w:sz w:val="20"/>
          <w:szCs w:val="20"/>
        </w:rPr>
        <w:t xml:space="preserve"> </w:t>
      </w:r>
      <w:proofErr w:type="spellStart"/>
      <w:r w:rsidRPr="00CC43C3">
        <w:rPr>
          <w:sz w:val="20"/>
          <w:szCs w:val="20"/>
        </w:rPr>
        <w:t>Muthuswamy</w:t>
      </w:r>
      <w:proofErr w:type="spellEnd"/>
      <w:r w:rsidRPr="00CC43C3">
        <w:rPr>
          <w:sz w:val="20"/>
          <w:szCs w:val="20"/>
        </w:rPr>
        <w:t xml:space="preserve"> 2012. </w:t>
      </w:r>
    </w:p>
  </w:endnote>
  <w:endnote w:id="7">
    <w:p w14:paraId="2308CFFF" w14:textId="77777777" w:rsidR="004723ED" w:rsidRPr="00CC43C3" w:rsidRDefault="004723ED">
      <w:pPr>
        <w:pStyle w:val="EndnoteText"/>
        <w:rPr>
          <w:sz w:val="20"/>
          <w:szCs w:val="20"/>
        </w:rPr>
      </w:pPr>
      <w:r w:rsidRPr="00CC43C3">
        <w:rPr>
          <w:rStyle w:val="EndnoteReference"/>
          <w:sz w:val="20"/>
          <w:szCs w:val="20"/>
        </w:rPr>
        <w:endnoteRef/>
      </w:r>
      <w:r w:rsidRPr="00CC43C3">
        <w:rPr>
          <w:sz w:val="20"/>
          <w:szCs w:val="20"/>
        </w:rPr>
        <w:t xml:space="preserve"> See Policy and Design used by the Vancouver School Board on Gardens: </w:t>
      </w:r>
      <w:hyperlink r:id="rId2" w:history="1">
        <w:r w:rsidRPr="00CC43C3">
          <w:rPr>
            <w:rStyle w:val="Hyperlink"/>
            <w:sz w:val="20"/>
            <w:szCs w:val="20"/>
          </w:rPr>
          <w:t>http://www.vsb.bc.ca/district-policy/io-garden-policy</w:t>
        </w:r>
      </w:hyperlink>
      <w:r w:rsidRPr="00CC43C3">
        <w:rPr>
          <w:sz w:val="20"/>
          <w:szCs w:val="20"/>
        </w:rPr>
        <w:t xml:space="preserve">. </w:t>
      </w:r>
    </w:p>
  </w:endnote>
  <w:endnote w:id="8">
    <w:p w14:paraId="24202D00" w14:textId="77777777" w:rsidR="004723ED" w:rsidRPr="00CC43C3" w:rsidRDefault="004723ED" w:rsidP="00F4203C">
      <w:pPr>
        <w:pStyle w:val="EndnoteText"/>
        <w:rPr>
          <w:sz w:val="20"/>
          <w:szCs w:val="20"/>
        </w:rPr>
      </w:pPr>
      <w:r w:rsidRPr="00CC43C3">
        <w:rPr>
          <w:rStyle w:val="EndnoteReference"/>
          <w:sz w:val="20"/>
          <w:szCs w:val="20"/>
        </w:rPr>
        <w:endnoteRef/>
      </w:r>
      <w:r w:rsidRPr="00CC43C3">
        <w:rPr>
          <w:sz w:val="20"/>
          <w:szCs w:val="20"/>
        </w:rPr>
        <w:t xml:space="preserve"> </w:t>
      </w:r>
      <w:proofErr w:type="spellStart"/>
      <w:r w:rsidRPr="00CC43C3">
        <w:rPr>
          <w:sz w:val="20"/>
          <w:szCs w:val="20"/>
        </w:rPr>
        <w:t>FoodShare</w:t>
      </w:r>
      <w:proofErr w:type="spellEnd"/>
      <w:r w:rsidRPr="00CC43C3">
        <w:rPr>
          <w:sz w:val="20"/>
          <w:szCs w:val="20"/>
        </w:rPr>
        <w:t xml:space="preserve">. 2010. “Canadians Demand Federal Action on Childhood Nutrition, National Food Policy.” Press Release. </w:t>
      </w:r>
    </w:p>
  </w:endnote>
  <w:endnote w:id="9">
    <w:p w14:paraId="016B17CB" w14:textId="77777777" w:rsidR="004723ED" w:rsidRPr="00CC43C3" w:rsidRDefault="004723ED">
      <w:pPr>
        <w:pStyle w:val="EndnoteText"/>
        <w:rPr>
          <w:sz w:val="20"/>
          <w:szCs w:val="20"/>
        </w:rPr>
      </w:pPr>
      <w:r w:rsidRPr="00CC43C3">
        <w:rPr>
          <w:rStyle w:val="EndnoteReference"/>
          <w:sz w:val="20"/>
          <w:szCs w:val="20"/>
        </w:rPr>
        <w:endnoteRef/>
      </w:r>
      <w:r w:rsidRPr="00CC43C3">
        <w:rPr>
          <w:sz w:val="20"/>
          <w:szCs w:val="20"/>
        </w:rPr>
        <w:t xml:space="preserve"> </w:t>
      </w:r>
      <w:proofErr w:type="gramStart"/>
      <w:r w:rsidRPr="00CC43C3">
        <w:rPr>
          <w:sz w:val="20"/>
          <w:szCs w:val="20"/>
        </w:rPr>
        <w:t>Toronto Youth Food Policy Council.</w:t>
      </w:r>
      <w:proofErr w:type="gramEnd"/>
      <w:r w:rsidRPr="00CC43C3">
        <w:rPr>
          <w:sz w:val="20"/>
          <w:szCs w:val="20"/>
        </w:rPr>
        <w:t xml:space="preserve"> 2010. “Community Meeting on Food Literacy.” </w:t>
      </w:r>
      <w:proofErr w:type="gramStart"/>
      <w:r w:rsidRPr="00CC43C3">
        <w:rPr>
          <w:sz w:val="20"/>
          <w:szCs w:val="20"/>
        </w:rPr>
        <w:t>November 2010 Community Meeting Notes.</w:t>
      </w:r>
      <w:proofErr w:type="gramEnd"/>
    </w:p>
  </w:endnote>
  <w:endnote w:id="10">
    <w:p w14:paraId="047C8278" w14:textId="77777777" w:rsidR="004723ED" w:rsidRPr="00CC43C3" w:rsidRDefault="004723ED">
      <w:pPr>
        <w:pStyle w:val="EndnoteText"/>
        <w:rPr>
          <w:sz w:val="20"/>
          <w:szCs w:val="20"/>
        </w:rPr>
      </w:pPr>
      <w:r w:rsidRPr="00CC43C3">
        <w:rPr>
          <w:rStyle w:val="EndnoteReference"/>
          <w:sz w:val="20"/>
          <w:szCs w:val="20"/>
        </w:rPr>
        <w:endnoteRef/>
      </w:r>
      <w:r w:rsidRPr="00CC43C3">
        <w:rPr>
          <w:sz w:val="20"/>
          <w:szCs w:val="20"/>
        </w:rPr>
        <w:t xml:space="preserve"> Unhealthy foods and beverages include those that are high in saturated fats, trans-fatty acids, sugars and sodium. </w:t>
      </w:r>
    </w:p>
  </w:endnote>
  <w:endnote w:id="11">
    <w:p w14:paraId="37A5E028" w14:textId="77777777" w:rsidR="004723ED" w:rsidRPr="00CC43C3" w:rsidRDefault="004723ED">
      <w:pPr>
        <w:pStyle w:val="EndnoteText"/>
        <w:rPr>
          <w:sz w:val="20"/>
          <w:szCs w:val="20"/>
        </w:rPr>
      </w:pPr>
      <w:r w:rsidRPr="00CC43C3">
        <w:rPr>
          <w:rStyle w:val="EndnoteReference"/>
          <w:sz w:val="20"/>
          <w:szCs w:val="20"/>
        </w:rPr>
        <w:endnoteRef/>
      </w:r>
      <w:r w:rsidRPr="00CC43C3">
        <w:rPr>
          <w:sz w:val="20"/>
          <w:szCs w:val="20"/>
        </w:rPr>
        <w:t xml:space="preserve"> See the Quebec Consumer Protection Act of </w:t>
      </w:r>
      <w:proofErr w:type="gramStart"/>
      <w:r w:rsidRPr="00CC43C3">
        <w:rPr>
          <w:sz w:val="20"/>
          <w:szCs w:val="20"/>
        </w:rPr>
        <w:t>1980 which</w:t>
      </w:r>
      <w:proofErr w:type="gramEnd"/>
      <w:r w:rsidRPr="00CC43C3">
        <w:rPr>
          <w:sz w:val="20"/>
          <w:szCs w:val="20"/>
        </w:rPr>
        <w:t xml:space="preserve"> prohibits commercial advertising directed at children under the age of 13.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1BB03" w14:textId="77777777" w:rsidR="004723ED" w:rsidRDefault="004723ED" w:rsidP="00F4203C">
      <w:r>
        <w:separator/>
      </w:r>
    </w:p>
  </w:footnote>
  <w:footnote w:type="continuationSeparator" w:id="0">
    <w:p w14:paraId="329B7D4C" w14:textId="77777777" w:rsidR="004723ED" w:rsidRDefault="004723ED" w:rsidP="00F4203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5B4835"/>
    <w:multiLevelType w:val="hybridMultilevel"/>
    <w:tmpl w:val="B5168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274662D"/>
    <w:multiLevelType w:val="hybridMultilevel"/>
    <w:tmpl w:val="247CF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C0E57A1"/>
    <w:multiLevelType w:val="hybridMultilevel"/>
    <w:tmpl w:val="1E0E82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E077049"/>
    <w:multiLevelType w:val="hybridMultilevel"/>
    <w:tmpl w:val="F54025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59437B2"/>
    <w:multiLevelType w:val="hybridMultilevel"/>
    <w:tmpl w:val="C888B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3A83483"/>
    <w:multiLevelType w:val="hybridMultilevel"/>
    <w:tmpl w:val="91E0C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ABF10E2"/>
    <w:multiLevelType w:val="hybridMultilevel"/>
    <w:tmpl w:val="E200D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1EE27AB"/>
    <w:multiLevelType w:val="hybridMultilevel"/>
    <w:tmpl w:val="029A154C"/>
    <w:lvl w:ilvl="0" w:tplc="78B078FA">
      <w:start w:val="1"/>
      <w:numFmt w:val="bullet"/>
      <w:lvlText w:val=""/>
      <w:lvlJc w:val="left"/>
      <w:pPr>
        <w:tabs>
          <w:tab w:val="num" w:pos="113"/>
        </w:tabs>
        <w:ind w:left="340" w:hanging="227"/>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910DA1"/>
    <w:multiLevelType w:val="hybridMultilevel"/>
    <w:tmpl w:val="236A1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9"/>
  </w:num>
  <w:num w:numId="4">
    <w:abstractNumId w:val="0"/>
  </w:num>
  <w:num w:numId="5">
    <w:abstractNumId w:val="6"/>
  </w:num>
  <w:num w:numId="6">
    <w:abstractNumId w:val="5"/>
  </w:num>
  <w:num w:numId="7">
    <w:abstractNumId w:val="7"/>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290"/>
    <w:rsid w:val="001C2B91"/>
    <w:rsid w:val="004567A7"/>
    <w:rsid w:val="004723ED"/>
    <w:rsid w:val="00C65290"/>
    <w:rsid w:val="00F4203C"/>
    <w:rsid w:val="00F80C65"/>
    <w:rsid w:val="00FD585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328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
    <w:name w:val="Action"/>
    <w:basedOn w:val="Normal"/>
    <w:qFormat/>
    <w:rsid w:val="003843AD"/>
    <w:rPr>
      <w:rFonts w:eastAsiaTheme="minorHAnsi"/>
      <w:b/>
      <w:color w:val="C0504D" w:themeColor="accent2"/>
    </w:rPr>
  </w:style>
  <w:style w:type="paragraph" w:styleId="ListParagraph">
    <w:name w:val="List Paragraph"/>
    <w:basedOn w:val="Normal"/>
    <w:uiPriority w:val="34"/>
    <w:qFormat/>
    <w:rsid w:val="004D1E2B"/>
    <w:pPr>
      <w:ind w:left="720"/>
      <w:contextualSpacing/>
    </w:pPr>
  </w:style>
  <w:style w:type="paragraph" w:styleId="EndnoteText">
    <w:name w:val="endnote text"/>
    <w:basedOn w:val="Normal"/>
    <w:link w:val="EndnoteTextChar"/>
    <w:uiPriority w:val="99"/>
    <w:unhideWhenUsed/>
    <w:rsid w:val="001E6AB2"/>
  </w:style>
  <w:style w:type="character" w:customStyle="1" w:styleId="EndnoteTextChar">
    <w:name w:val="Endnote Text Char"/>
    <w:basedOn w:val="DefaultParagraphFont"/>
    <w:link w:val="EndnoteText"/>
    <w:uiPriority w:val="99"/>
    <w:rsid w:val="001E6AB2"/>
  </w:style>
  <w:style w:type="character" w:styleId="EndnoteReference">
    <w:name w:val="endnote reference"/>
    <w:basedOn w:val="DefaultParagraphFont"/>
    <w:uiPriority w:val="99"/>
    <w:unhideWhenUsed/>
    <w:rsid w:val="001E6AB2"/>
    <w:rPr>
      <w:vertAlign w:val="superscript"/>
    </w:rPr>
  </w:style>
  <w:style w:type="character" w:styleId="Hyperlink">
    <w:name w:val="Hyperlink"/>
    <w:basedOn w:val="DefaultParagraphFont"/>
    <w:uiPriority w:val="99"/>
    <w:unhideWhenUsed/>
    <w:rsid w:val="004C1BF1"/>
    <w:rPr>
      <w:color w:val="0000FF" w:themeColor="hyperlink"/>
      <w:u w:val="single"/>
    </w:rPr>
  </w:style>
  <w:style w:type="character" w:styleId="CommentReference">
    <w:name w:val="annotation reference"/>
    <w:basedOn w:val="DefaultParagraphFont"/>
    <w:uiPriority w:val="99"/>
    <w:semiHidden/>
    <w:unhideWhenUsed/>
    <w:rsid w:val="003254B4"/>
    <w:rPr>
      <w:sz w:val="18"/>
      <w:szCs w:val="18"/>
    </w:rPr>
  </w:style>
  <w:style w:type="paragraph" w:styleId="CommentText">
    <w:name w:val="annotation text"/>
    <w:basedOn w:val="Normal"/>
    <w:link w:val="CommentTextChar"/>
    <w:uiPriority w:val="99"/>
    <w:semiHidden/>
    <w:unhideWhenUsed/>
    <w:rsid w:val="003254B4"/>
  </w:style>
  <w:style w:type="character" w:customStyle="1" w:styleId="CommentTextChar">
    <w:name w:val="Comment Text Char"/>
    <w:basedOn w:val="DefaultParagraphFont"/>
    <w:link w:val="CommentText"/>
    <w:uiPriority w:val="99"/>
    <w:semiHidden/>
    <w:rsid w:val="003254B4"/>
  </w:style>
  <w:style w:type="paragraph" w:styleId="CommentSubject">
    <w:name w:val="annotation subject"/>
    <w:basedOn w:val="CommentText"/>
    <w:next w:val="CommentText"/>
    <w:link w:val="CommentSubjectChar"/>
    <w:uiPriority w:val="99"/>
    <w:semiHidden/>
    <w:unhideWhenUsed/>
    <w:rsid w:val="003254B4"/>
    <w:rPr>
      <w:b/>
      <w:bCs/>
      <w:sz w:val="20"/>
      <w:szCs w:val="20"/>
    </w:rPr>
  </w:style>
  <w:style w:type="character" w:customStyle="1" w:styleId="CommentSubjectChar">
    <w:name w:val="Comment Subject Char"/>
    <w:basedOn w:val="CommentTextChar"/>
    <w:link w:val="CommentSubject"/>
    <w:uiPriority w:val="99"/>
    <w:semiHidden/>
    <w:rsid w:val="003254B4"/>
    <w:rPr>
      <w:b/>
      <w:bCs/>
      <w:sz w:val="20"/>
      <w:szCs w:val="20"/>
    </w:rPr>
  </w:style>
  <w:style w:type="paragraph" w:styleId="BalloonText">
    <w:name w:val="Balloon Text"/>
    <w:basedOn w:val="Normal"/>
    <w:link w:val="BalloonTextChar"/>
    <w:uiPriority w:val="99"/>
    <w:semiHidden/>
    <w:unhideWhenUsed/>
    <w:rsid w:val="003254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54B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
    <w:name w:val="Action"/>
    <w:basedOn w:val="Normal"/>
    <w:qFormat/>
    <w:rsid w:val="003843AD"/>
    <w:rPr>
      <w:rFonts w:eastAsiaTheme="minorHAnsi"/>
      <w:b/>
      <w:color w:val="C0504D" w:themeColor="accent2"/>
    </w:rPr>
  </w:style>
  <w:style w:type="paragraph" w:styleId="ListParagraph">
    <w:name w:val="List Paragraph"/>
    <w:basedOn w:val="Normal"/>
    <w:uiPriority w:val="34"/>
    <w:qFormat/>
    <w:rsid w:val="004D1E2B"/>
    <w:pPr>
      <w:ind w:left="720"/>
      <w:contextualSpacing/>
    </w:pPr>
  </w:style>
  <w:style w:type="paragraph" w:styleId="EndnoteText">
    <w:name w:val="endnote text"/>
    <w:basedOn w:val="Normal"/>
    <w:link w:val="EndnoteTextChar"/>
    <w:uiPriority w:val="99"/>
    <w:unhideWhenUsed/>
    <w:rsid w:val="001E6AB2"/>
  </w:style>
  <w:style w:type="character" w:customStyle="1" w:styleId="EndnoteTextChar">
    <w:name w:val="Endnote Text Char"/>
    <w:basedOn w:val="DefaultParagraphFont"/>
    <w:link w:val="EndnoteText"/>
    <w:uiPriority w:val="99"/>
    <w:rsid w:val="001E6AB2"/>
  </w:style>
  <w:style w:type="character" w:styleId="EndnoteReference">
    <w:name w:val="endnote reference"/>
    <w:basedOn w:val="DefaultParagraphFont"/>
    <w:uiPriority w:val="99"/>
    <w:unhideWhenUsed/>
    <w:rsid w:val="001E6AB2"/>
    <w:rPr>
      <w:vertAlign w:val="superscript"/>
    </w:rPr>
  </w:style>
  <w:style w:type="character" w:styleId="Hyperlink">
    <w:name w:val="Hyperlink"/>
    <w:basedOn w:val="DefaultParagraphFont"/>
    <w:uiPriority w:val="99"/>
    <w:unhideWhenUsed/>
    <w:rsid w:val="004C1BF1"/>
    <w:rPr>
      <w:color w:val="0000FF" w:themeColor="hyperlink"/>
      <w:u w:val="single"/>
    </w:rPr>
  </w:style>
  <w:style w:type="character" w:styleId="CommentReference">
    <w:name w:val="annotation reference"/>
    <w:basedOn w:val="DefaultParagraphFont"/>
    <w:uiPriority w:val="99"/>
    <w:semiHidden/>
    <w:unhideWhenUsed/>
    <w:rsid w:val="003254B4"/>
    <w:rPr>
      <w:sz w:val="18"/>
      <w:szCs w:val="18"/>
    </w:rPr>
  </w:style>
  <w:style w:type="paragraph" w:styleId="CommentText">
    <w:name w:val="annotation text"/>
    <w:basedOn w:val="Normal"/>
    <w:link w:val="CommentTextChar"/>
    <w:uiPriority w:val="99"/>
    <w:semiHidden/>
    <w:unhideWhenUsed/>
    <w:rsid w:val="003254B4"/>
  </w:style>
  <w:style w:type="character" w:customStyle="1" w:styleId="CommentTextChar">
    <w:name w:val="Comment Text Char"/>
    <w:basedOn w:val="DefaultParagraphFont"/>
    <w:link w:val="CommentText"/>
    <w:uiPriority w:val="99"/>
    <w:semiHidden/>
    <w:rsid w:val="003254B4"/>
  </w:style>
  <w:style w:type="paragraph" w:styleId="CommentSubject">
    <w:name w:val="annotation subject"/>
    <w:basedOn w:val="CommentText"/>
    <w:next w:val="CommentText"/>
    <w:link w:val="CommentSubjectChar"/>
    <w:uiPriority w:val="99"/>
    <w:semiHidden/>
    <w:unhideWhenUsed/>
    <w:rsid w:val="003254B4"/>
    <w:rPr>
      <w:b/>
      <w:bCs/>
      <w:sz w:val="20"/>
      <w:szCs w:val="20"/>
    </w:rPr>
  </w:style>
  <w:style w:type="character" w:customStyle="1" w:styleId="CommentSubjectChar">
    <w:name w:val="Comment Subject Char"/>
    <w:basedOn w:val="CommentTextChar"/>
    <w:link w:val="CommentSubject"/>
    <w:uiPriority w:val="99"/>
    <w:semiHidden/>
    <w:rsid w:val="003254B4"/>
    <w:rPr>
      <w:b/>
      <w:bCs/>
      <w:sz w:val="20"/>
      <w:szCs w:val="20"/>
    </w:rPr>
  </w:style>
  <w:style w:type="paragraph" w:styleId="BalloonText">
    <w:name w:val="Balloon Text"/>
    <w:basedOn w:val="Normal"/>
    <w:link w:val="BalloonTextChar"/>
    <w:uiPriority w:val="99"/>
    <w:semiHidden/>
    <w:unhideWhenUsed/>
    <w:rsid w:val="003254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54B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endnotes.xml.rels><?xml version="1.0" encoding="UTF-8" standalone="yes"?>
<Relationships xmlns="http://schemas.openxmlformats.org/package/2006/relationships"><Relationship Id="rId1" Type="http://schemas.openxmlformats.org/officeDocument/2006/relationships/hyperlink" Target="http://sustainontario.com/initiatives/policies/gfpps-sector/good-food-policies-for-education" TargetMode="External"/><Relationship Id="rId2" Type="http://schemas.openxmlformats.org/officeDocument/2006/relationships/hyperlink" Target="http://www.vsb.bc.ca/district-policy/io-garden-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818</Words>
  <Characters>4666</Characters>
  <Application>Microsoft Macintosh Word</Application>
  <DocSecurity>0</DocSecurity>
  <Lines>38</Lines>
  <Paragraphs>10</Paragraphs>
  <ScaleCrop>false</ScaleCrop>
  <Company/>
  <LinksUpToDate>false</LinksUpToDate>
  <CharactersWithSpaces>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Avalon Jennings</dc:creator>
  <cp:keywords/>
  <dc:description/>
  <cp:lastModifiedBy>Avalon Jennings</cp:lastModifiedBy>
  <cp:revision>4</cp:revision>
  <dcterms:created xsi:type="dcterms:W3CDTF">2012-07-24T16:35:00Z</dcterms:created>
  <dcterms:modified xsi:type="dcterms:W3CDTF">2012-07-24T21:02:00Z</dcterms:modified>
</cp:coreProperties>
</file>