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4EE" w:rsidRPr="00812B0E" w:rsidRDefault="000E129D" w:rsidP="002844EE">
      <w:pPr>
        <w:jc w:val="center"/>
        <w:rPr>
          <w:rFonts w:ascii="Cambria" w:hAnsi="Cambria"/>
          <w:sz w:val="28"/>
          <w:szCs w:val="28"/>
        </w:rPr>
      </w:pPr>
      <w:bookmarkStart w:id="0" w:name="_GoBack"/>
      <w:bookmarkEnd w:id="0"/>
      <w:r>
        <w:rPr>
          <w:b/>
          <w:noProof/>
          <w:sz w:val="28"/>
          <w:szCs w:val="28"/>
        </w:rPr>
        <w:drawing>
          <wp:anchor distT="0" distB="0" distL="114300" distR="114300" simplePos="0" relativeHeight="251659264" behindDoc="0" locked="0" layoutInCell="1" allowOverlap="1">
            <wp:simplePos x="0" y="0"/>
            <wp:positionH relativeFrom="margin">
              <wp:posOffset>996950</wp:posOffset>
            </wp:positionH>
            <wp:positionV relativeFrom="paragraph">
              <wp:posOffset>0</wp:posOffset>
            </wp:positionV>
            <wp:extent cx="3492500" cy="12528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stain Logo4.jpg"/>
                    <pic:cNvPicPr/>
                  </pic:nvPicPr>
                  <pic:blipFill>
                    <a:blip r:embed="rId8">
                      <a:extLst>
                        <a:ext uri="{28A0092B-C50C-407E-A947-70E740481C1C}">
                          <a14:useLocalDpi xmlns:a14="http://schemas.microsoft.com/office/drawing/2010/main" val="0"/>
                        </a:ext>
                      </a:extLst>
                    </a:blip>
                    <a:stretch>
                      <a:fillRect/>
                    </a:stretch>
                  </pic:blipFill>
                  <pic:spPr>
                    <a:xfrm>
                      <a:off x="0" y="0"/>
                      <a:ext cx="3492500" cy="1253419"/>
                    </a:xfrm>
                    <a:prstGeom prst="rect">
                      <a:avLst/>
                    </a:prstGeom>
                  </pic:spPr>
                </pic:pic>
              </a:graphicData>
            </a:graphic>
          </wp:anchor>
        </w:drawing>
      </w:r>
    </w:p>
    <w:p w:rsidR="002844EE" w:rsidRPr="00812B0E" w:rsidRDefault="00B9581A" w:rsidP="002844EE">
      <w:pPr>
        <w:jc w:val="center"/>
        <w:rPr>
          <w:rFonts w:ascii="Cambria" w:hAnsi="Cambria"/>
          <w:sz w:val="28"/>
          <w:szCs w:val="28"/>
        </w:rPr>
      </w:pPr>
    </w:p>
    <w:p w:rsidR="002844EE" w:rsidRPr="00812B0E" w:rsidRDefault="00B9581A" w:rsidP="002844EE">
      <w:pPr>
        <w:jc w:val="center"/>
        <w:rPr>
          <w:rFonts w:ascii="Cambria" w:hAnsi="Cambria"/>
          <w:sz w:val="28"/>
          <w:szCs w:val="28"/>
        </w:rPr>
      </w:pPr>
    </w:p>
    <w:p w:rsidR="002844EE" w:rsidRDefault="00B9581A" w:rsidP="002844EE">
      <w:pPr>
        <w:jc w:val="center"/>
        <w:rPr>
          <w:rFonts w:ascii="Cambria" w:hAnsi="Cambria"/>
          <w:b/>
          <w:sz w:val="28"/>
          <w:szCs w:val="28"/>
        </w:rPr>
      </w:pPr>
    </w:p>
    <w:p w:rsidR="002844EE" w:rsidRDefault="00B9581A" w:rsidP="002844EE">
      <w:pPr>
        <w:jc w:val="center"/>
        <w:rPr>
          <w:rFonts w:ascii="Cambria" w:hAnsi="Cambria"/>
          <w:b/>
          <w:sz w:val="28"/>
          <w:szCs w:val="28"/>
        </w:rPr>
      </w:pPr>
    </w:p>
    <w:p w:rsidR="002844EE" w:rsidRDefault="00B9581A" w:rsidP="002844EE">
      <w:pPr>
        <w:jc w:val="center"/>
        <w:rPr>
          <w:rFonts w:ascii="Cambria" w:hAnsi="Cambria"/>
          <w:b/>
          <w:sz w:val="28"/>
          <w:szCs w:val="28"/>
        </w:rPr>
      </w:pPr>
    </w:p>
    <w:p w:rsidR="002844EE" w:rsidRDefault="00B9581A" w:rsidP="002844EE">
      <w:pPr>
        <w:jc w:val="center"/>
        <w:rPr>
          <w:rFonts w:ascii="Cambria" w:hAnsi="Cambria"/>
          <w:b/>
          <w:sz w:val="28"/>
          <w:szCs w:val="28"/>
        </w:rPr>
      </w:pPr>
    </w:p>
    <w:p w:rsidR="002844EE" w:rsidRDefault="00B9581A" w:rsidP="002844EE">
      <w:pPr>
        <w:jc w:val="center"/>
        <w:rPr>
          <w:rFonts w:ascii="Cambria" w:hAnsi="Cambria"/>
          <w:b/>
          <w:sz w:val="28"/>
          <w:szCs w:val="28"/>
        </w:rPr>
      </w:pPr>
    </w:p>
    <w:p w:rsidR="00DB1571" w:rsidRPr="00812B0E" w:rsidRDefault="000E129D" w:rsidP="002844EE">
      <w:pPr>
        <w:jc w:val="center"/>
        <w:rPr>
          <w:rFonts w:ascii="Cambria" w:hAnsi="Cambria"/>
          <w:b/>
          <w:sz w:val="28"/>
          <w:szCs w:val="28"/>
        </w:rPr>
      </w:pPr>
      <w:r w:rsidRPr="00812B0E">
        <w:rPr>
          <w:rFonts w:ascii="Cambria" w:hAnsi="Cambria"/>
          <w:b/>
          <w:sz w:val="28"/>
          <w:szCs w:val="28"/>
        </w:rPr>
        <w:t>Backgrounder on Ecosystem Goods and Services</w:t>
      </w:r>
    </w:p>
    <w:p w:rsidR="002844EE" w:rsidRPr="00812B0E" w:rsidRDefault="000E129D" w:rsidP="002844EE">
      <w:pPr>
        <w:jc w:val="center"/>
        <w:rPr>
          <w:rFonts w:ascii="Cambria" w:hAnsi="Cambria"/>
          <w:b/>
          <w:sz w:val="28"/>
          <w:szCs w:val="28"/>
        </w:rPr>
      </w:pPr>
      <w:r w:rsidRPr="00812B0E">
        <w:rPr>
          <w:rFonts w:ascii="Cambria" w:hAnsi="Cambria"/>
          <w:b/>
          <w:sz w:val="28"/>
          <w:szCs w:val="28"/>
        </w:rPr>
        <w:t>August 2</w:t>
      </w:r>
      <w:r>
        <w:rPr>
          <w:rFonts w:ascii="Cambria" w:hAnsi="Cambria"/>
          <w:b/>
          <w:sz w:val="28"/>
          <w:szCs w:val="28"/>
        </w:rPr>
        <w:t>4</w:t>
      </w:r>
      <w:r w:rsidRPr="00812B0E">
        <w:rPr>
          <w:rFonts w:ascii="Cambria" w:hAnsi="Cambria"/>
          <w:b/>
          <w:sz w:val="28"/>
          <w:szCs w:val="28"/>
        </w:rPr>
        <w:t>, 2012</w:t>
      </w:r>
    </w:p>
    <w:p w:rsidR="002844EE" w:rsidRDefault="00B9581A" w:rsidP="002844EE">
      <w:pPr>
        <w:jc w:val="both"/>
        <w:rPr>
          <w:rFonts w:ascii="Cambria" w:hAnsi="Cambria"/>
        </w:rPr>
      </w:pPr>
    </w:p>
    <w:p w:rsidR="00DB1571" w:rsidRPr="00812B0E" w:rsidRDefault="000E129D" w:rsidP="002844EE">
      <w:pPr>
        <w:jc w:val="both"/>
        <w:rPr>
          <w:rFonts w:ascii="Cambria" w:hAnsi="Cambria"/>
          <w:b/>
        </w:rPr>
      </w:pPr>
      <w:r w:rsidRPr="00812B0E">
        <w:rPr>
          <w:rFonts w:ascii="Cambria" w:hAnsi="Cambria"/>
          <w:b/>
        </w:rPr>
        <w:t>Introduction</w:t>
      </w:r>
    </w:p>
    <w:p w:rsidR="00DB1571" w:rsidRPr="00812B0E" w:rsidRDefault="00DB1571" w:rsidP="002844EE">
      <w:pPr>
        <w:jc w:val="both"/>
        <w:rPr>
          <w:rFonts w:ascii="Cambria" w:hAnsi="Cambria"/>
        </w:rPr>
      </w:pPr>
    </w:p>
    <w:p w:rsidR="00DB1571" w:rsidRPr="00812B0E" w:rsidRDefault="000E129D" w:rsidP="002844EE">
      <w:pPr>
        <w:jc w:val="both"/>
        <w:rPr>
          <w:rFonts w:ascii="Cambria" w:hAnsi="Cambria"/>
        </w:rPr>
      </w:pPr>
      <w:r w:rsidRPr="00812B0E">
        <w:rPr>
          <w:rFonts w:ascii="Cambria" w:hAnsi="Cambria"/>
        </w:rPr>
        <w:t>This backgrounder reviews the benefits of ecosystem goods and services and provides recommendations for how the Ontario government can protect the ecosystems that serve Ontarians, generating economic, environmental, and social benefits.</w:t>
      </w:r>
    </w:p>
    <w:p w:rsidR="002844EE" w:rsidRDefault="00B9581A" w:rsidP="002844EE">
      <w:pPr>
        <w:jc w:val="both"/>
        <w:rPr>
          <w:rFonts w:ascii="Cambria" w:hAnsi="Cambria"/>
        </w:rPr>
      </w:pPr>
    </w:p>
    <w:p w:rsidR="002844EE" w:rsidRPr="00812B0E" w:rsidRDefault="000E129D" w:rsidP="002844EE">
      <w:pPr>
        <w:jc w:val="both"/>
        <w:rPr>
          <w:rFonts w:ascii="Cambria" w:hAnsi="Cambria"/>
        </w:rPr>
      </w:pPr>
      <w:r w:rsidRPr="00812B0E">
        <w:rPr>
          <w:rFonts w:ascii="Cambria" w:hAnsi="Cambria"/>
        </w:rPr>
        <w:t xml:space="preserve">Ecosystem services are life-supporting services that result from the chemical, </w:t>
      </w:r>
      <w:proofErr w:type="gramStart"/>
      <w:r w:rsidRPr="00812B0E">
        <w:rPr>
          <w:rFonts w:ascii="Cambria" w:hAnsi="Cambria"/>
        </w:rPr>
        <w:t>biological</w:t>
      </w:r>
      <w:proofErr w:type="gramEnd"/>
      <w:r w:rsidRPr="00812B0E">
        <w:rPr>
          <w:rFonts w:ascii="Cambria" w:hAnsi="Cambria"/>
        </w:rPr>
        <w:t>, and physical interactions within ecosystems that benefit humans</w:t>
      </w:r>
      <w:r w:rsidRPr="00812B0E">
        <w:rPr>
          <w:rStyle w:val="EndnoteReference"/>
          <w:rFonts w:ascii="Cambria" w:hAnsi="Cambria"/>
        </w:rPr>
        <w:endnoteReference w:id="1"/>
      </w:r>
      <w:r w:rsidRPr="00812B0E">
        <w:rPr>
          <w:rFonts w:ascii="Cambria" w:hAnsi="Cambria"/>
        </w:rPr>
        <w:t xml:space="preserve">. These benefits, called ecosystem services, include but are not limited to: </w:t>
      </w:r>
      <w:r w:rsidRPr="00812B0E">
        <w:rPr>
          <w:rFonts w:ascii="Cambria" w:eastAsia="Times New Roman" w:hAnsi="Cambria"/>
        </w:rPr>
        <w:t>climate regulation</w:t>
      </w:r>
      <w:r w:rsidRPr="00812B0E">
        <w:rPr>
          <w:rFonts w:ascii="Cambria" w:hAnsi="Cambria"/>
        </w:rPr>
        <w:t xml:space="preserve">, </w:t>
      </w:r>
      <w:r w:rsidRPr="00812B0E">
        <w:rPr>
          <w:rFonts w:ascii="Cambria" w:eastAsia="Times New Roman" w:hAnsi="Cambria"/>
        </w:rPr>
        <w:t>nutrient cycling</w:t>
      </w:r>
      <w:r w:rsidRPr="00812B0E">
        <w:rPr>
          <w:rFonts w:ascii="Cambria" w:hAnsi="Cambria"/>
        </w:rPr>
        <w:t xml:space="preserve">, </w:t>
      </w:r>
      <w:r w:rsidRPr="00812B0E">
        <w:rPr>
          <w:rFonts w:ascii="Cambria" w:eastAsia="Times New Roman" w:hAnsi="Cambria"/>
        </w:rPr>
        <w:t>pollination</w:t>
      </w:r>
      <w:r w:rsidRPr="00812B0E">
        <w:rPr>
          <w:rFonts w:ascii="Cambria" w:hAnsi="Cambria"/>
        </w:rPr>
        <w:t xml:space="preserve">, </w:t>
      </w:r>
      <w:r w:rsidRPr="00812B0E">
        <w:rPr>
          <w:rFonts w:ascii="Cambria" w:eastAsia="Times New Roman" w:hAnsi="Cambria"/>
        </w:rPr>
        <w:t>pest control</w:t>
      </w:r>
      <w:r w:rsidRPr="00812B0E">
        <w:rPr>
          <w:rFonts w:ascii="Cambria" w:hAnsi="Cambria"/>
        </w:rPr>
        <w:t xml:space="preserve">, </w:t>
      </w:r>
      <w:r w:rsidRPr="00812B0E">
        <w:rPr>
          <w:rFonts w:ascii="Cambria" w:eastAsia="Times New Roman" w:hAnsi="Cambria"/>
        </w:rPr>
        <w:t>disease regulation</w:t>
      </w:r>
      <w:r w:rsidRPr="00812B0E">
        <w:rPr>
          <w:rFonts w:ascii="Cambria" w:hAnsi="Cambria"/>
        </w:rPr>
        <w:t xml:space="preserve">, </w:t>
      </w:r>
      <w:r w:rsidRPr="00812B0E">
        <w:rPr>
          <w:rFonts w:ascii="Cambria" w:eastAsia="Times New Roman" w:hAnsi="Cambria"/>
        </w:rPr>
        <w:t>flood control</w:t>
      </w:r>
      <w:r w:rsidRPr="00812B0E">
        <w:rPr>
          <w:rFonts w:ascii="Cambria" w:hAnsi="Cambria"/>
        </w:rPr>
        <w:t xml:space="preserve">, </w:t>
      </w:r>
      <w:r w:rsidRPr="00812B0E">
        <w:rPr>
          <w:rFonts w:ascii="Cambria" w:eastAsia="Times New Roman" w:hAnsi="Cambria"/>
        </w:rPr>
        <w:t>erosion regulation</w:t>
      </w:r>
      <w:r w:rsidRPr="00812B0E">
        <w:rPr>
          <w:rFonts w:ascii="Cambria" w:hAnsi="Cambria"/>
        </w:rPr>
        <w:t xml:space="preserve">, </w:t>
      </w:r>
      <w:r>
        <w:rPr>
          <w:rFonts w:ascii="Cambria" w:hAnsi="Cambria"/>
        </w:rPr>
        <w:t xml:space="preserve">provision of wildlife habitat, </w:t>
      </w:r>
      <w:r w:rsidRPr="00812B0E">
        <w:rPr>
          <w:rFonts w:ascii="Cambria" w:eastAsia="Times New Roman" w:hAnsi="Cambria"/>
        </w:rPr>
        <w:t>water purification and treatment. Some other less tangible ecosystem services, known as cultural services, include spiritual fulfillment, aesthetic value, and ecotourism</w:t>
      </w:r>
      <w:r w:rsidRPr="00812B0E">
        <w:rPr>
          <w:rStyle w:val="EndnoteReference"/>
          <w:rFonts w:ascii="Cambria" w:eastAsia="Times New Roman" w:hAnsi="Cambria"/>
        </w:rPr>
        <w:endnoteReference w:id="2"/>
      </w:r>
      <w:r w:rsidRPr="00812B0E">
        <w:rPr>
          <w:rFonts w:ascii="Cambria" w:eastAsia="Times New Roman" w:hAnsi="Cambria"/>
        </w:rPr>
        <w:t xml:space="preserve">. </w:t>
      </w:r>
    </w:p>
    <w:p w:rsidR="002844EE" w:rsidRDefault="00B9581A" w:rsidP="002844EE">
      <w:pPr>
        <w:jc w:val="both"/>
        <w:rPr>
          <w:rFonts w:ascii="Cambria" w:hAnsi="Cambria"/>
        </w:rPr>
      </w:pPr>
    </w:p>
    <w:p w:rsidR="002844EE" w:rsidRPr="00812B0E" w:rsidRDefault="000E129D" w:rsidP="002844EE">
      <w:pPr>
        <w:jc w:val="both"/>
        <w:rPr>
          <w:rFonts w:ascii="Cambria" w:hAnsi="Cambria"/>
        </w:rPr>
      </w:pPr>
      <w:r w:rsidRPr="00812B0E">
        <w:rPr>
          <w:rFonts w:ascii="Cambria" w:hAnsi="Cambria"/>
        </w:rPr>
        <w:t>Ecosystem goods are the tangible goods that are produced from ecosystem services and processes</w:t>
      </w:r>
      <w:r w:rsidRPr="00812B0E">
        <w:rPr>
          <w:rStyle w:val="EndnoteReference"/>
          <w:rFonts w:ascii="Cambria" w:hAnsi="Cambria"/>
        </w:rPr>
        <w:endnoteReference w:id="3"/>
      </w:r>
      <w:r w:rsidRPr="00812B0E">
        <w:rPr>
          <w:rFonts w:ascii="Cambria" w:hAnsi="Cambria"/>
        </w:rPr>
        <w:t xml:space="preserve">. These include fuel, fiber, wood, water, and food. Unlike ecosystem goods, </w:t>
      </w:r>
      <w:proofErr w:type="gramStart"/>
      <w:r w:rsidRPr="00812B0E">
        <w:rPr>
          <w:rFonts w:ascii="Cambria" w:hAnsi="Cambria"/>
        </w:rPr>
        <w:t>ecosystem services are not currently valued by the market</w:t>
      </w:r>
      <w:proofErr w:type="gramEnd"/>
      <w:r w:rsidRPr="00812B0E">
        <w:rPr>
          <w:rStyle w:val="EndnoteReference"/>
          <w:rFonts w:ascii="Cambria" w:hAnsi="Cambria"/>
        </w:rPr>
        <w:endnoteReference w:id="4"/>
      </w:r>
      <w:r w:rsidRPr="00812B0E">
        <w:rPr>
          <w:rFonts w:ascii="Cambria" w:hAnsi="Cambria"/>
        </w:rPr>
        <w:t>, however they can be accounted for in order to</w:t>
      </w:r>
      <w:r>
        <w:rPr>
          <w:rFonts w:ascii="Cambria" w:hAnsi="Cambria"/>
        </w:rPr>
        <w:t xml:space="preserve"> better understand the costs and benefits of destroying or maintaining the capacity of ecosystems to provide these services. F</w:t>
      </w:r>
      <w:r w:rsidRPr="00812B0E">
        <w:rPr>
          <w:rFonts w:ascii="Cambria" w:hAnsi="Cambria"/>
        </w:rPr>
        <w:t xml:space="preserve">or these reasons, ecosystem services are the focus of this backgrounder and recommendations. </w:t>
      </w:r>
    </w:p>
    <w:p w:rsidR="002844EE" w:rsidRDefault="00B9581A" w:rsidP="002844EE">
      <w:pPr>
        <w:jc w:val="both"/>
        <w:rPr>
          <w:rFonts w:ascii="Cambria" w:hAnsi="Cambria"/>
        </w:rPr>
      </w:pPr>
    </w:p>
    <w:p w:rsidR="002844EE" w:rsidRPr="00812B0E" w:rsidRDefault="000E129D" w:rsidP="002844EE">
      <w:pPr>
        <w:jc w:val="both"/>
        <w:rPr>
          <w:rFonts w:ascii="Cambria" w:hAnsi="Cambria"/>
          <w:b/>
        </w:rPr>
      </w:pPr>
      <w:r w:rsidRPr="00812B0E">
        <w:rPr>
          <w:rFonts w:ascii="Cambria" w:hAnsi="Cambria"/>
          <w:b/>
        </w:rPr>
        <w:t>The Value of Ecosystem Services</w:t>
      </w:r>
    </w:p>
    <w:p w:rsidR="002844EE" w:rsidRDefault="00B9581A" w:rsidP="002844EE">
      <w:pPr>
        <w:rPr>
          <w:rFonts w:ascii="Cambria" w:hAnsi="Cambria"/>
          <w:u w:val="single"/>
        </w:rPr>
      </w:pPr>
    </w:p>
    <w:p w:rsidR="002844EE" w:rsidRPr="00812B0E" w:rsidRDefault="000E129D" w:rsidP="002844EE">
      <w:pPr>
        <w:rPr>
          <w:rFonts w:ascii="Cambria" w:hAnsi="Cambria"/>
        </w:rPr>
      </w:pPr>
      <w:r w:rsidRPr="002A51EB">
        <w:rPr>
          <w:rFonts w:ascii="Cambria" w:hAnsi="Cambria"/>
        </w:rPr>
        <w:t>Several initiatives have been undertaken to understand the value of ecosystem services in Ontario.</w:t>
      </w:r>
      <w:r>
        <w:rPr>
          <w:rFonts w:ascii="Cambria" w:hAnsi="Cambria"/>
        </w:rPr>
        <w:t xml:space="preserve"> A</w:t>
      </w:r>
      <w:r w:rsidRPr="002A51EB">
        <w:rPr>
          <w:rFonts w:ascii="Cambria" w:hAnsi="Cambria"/>
        </w:rPr>
        <w:t xml:space="preserve"> 2009 study commissioned by the Ministry of Natural Resources (MNR) indicates that a conservative estimate of the value of the ecosystem services provided by forests, open water, wetlands, beaches and agricultural lands in southern Ontario was equivalent to $84,408,863,080 annually ($2008 CAD).</w:t>
      </w:r>
      <w:r>
        <w:rPr>
          <w:rStyle w:val="EndnoteReference"/>
          <w:rFonts w:ascii="Cambria" w:hAnsi="Cambria"/>
        </w:rPr>
        <w:endnoteReference w:id="5"/>
      </w:r>
      <w:r>
        <w:rPr>
          <w:rFonts w:ascii="Cambria" w:hAnsi="Cambria"/>
        </w:rPr>
        <w:t xml:space="preserve"> </w:t>
      </w:r>
      <w:r w:rsidRPr="002A51EB">
        <w:rPr>
          <w:rFonts w:ascii="Cambria" w:hAnsi="Cambria"/>
        </w:rPr>
        <w:t xml:space="preserve">The study looked at such services as pollination and dispersal, atmospheric regulation, soil retention, water quality and supply and recreational and aesthetic values. According to the authors, “these services are the foundation of </w:t>
      </w:r>
      <w:r w:rsidRPr="002A51EB">
        <w:rPr>
          <w:rFonts w:ascii="Cambria" w:hAnsi="Cambria"/>
        </w:rPr>
        <w:lastRenderedPageBreak/>
        <w:t>human well-being and they also represent a significant part of the total economic value of o</w:t>
      </w:r>
      <w:r>
        <w:rPr>
          <w:rFonts w:ascii="Cambria" w:hAnsi="Cambria"/>
        </w:rPr>
        <w:t xml:space="preserve">ur landscape and economy.” </w:t>
      </w:r>
    </w:p>
    <w:p w:rsidR="002844EE" w:rsidRPr="00812B0E" w:rsidRDefault="00B9581A" w:rsidP="002844EE">
      <w:pPr>
        <w:jc w:val="both"/>
        <w:rPr>
          <w:rFonts w:ascii="Cambria" w:hAnsi="Cambria"/>
        </w:rPr>
      </w:pPr>
    </w:p>
    <w:p w:rsidR="002844EE" w:rsidRPr="00812B0E" w:rsidRDefault="000E129D" w:rsidP="002844EE">
      <w:pPr>
        <w:jc w:val="both"/>
        <w:rPr>
          <w:rFonts w:ascii="Cambria" w:hAnsi="Cambria"/>
        </w:rPr>
      </w:pPr>
      <w:r>
        <w:rPr>
          <w:rFonts w:ascii="Cambria" w:hAnsi="Cambria"/>
        </w:rPr>
        <w:t>Another study looked at</w:t>
      </w:r>
      <w:r w:rsidRPr="00812B0E">
        <w:rPr>
          <w:rFonts w:ascii="Cambria" w:hAnsi="Cambria"/>
        </w:rPr>
        <w:t xml:space="preserve"> services provided by Ontario’s Greenbelt</w:t>
      </w:r>
      <w:r>
        <w:rPr>
          <w:rFonts w:ascii="Cambria" w:hAnsi="Cambria"/>
        </w:rPr>
        <w:t xml:space="preserve">. This study estimated that ecosystem services in this region alone are worth </w:t>
      </w:r>
      <w:r w:rsidRPr="00812B0E">
        <w:rPr>
          <w:rFonts w:ascii="Cambria" w:hAnsi="Cambria"/>
        </w:rPr>
        <w:t>$2.6 billion annually; this value is not currently accounted for in markets and is likely a conservative estimate due to the incomplete understanding of all of the benefits of ecosystems</w:t>
      </w:r>
      <w:r w:rsidRPr="00812B0E">
        <w:rPr>
          <w:rStyle w:val="EndnoteReference"/>
          <w:rFonts w:ascii="Cambria" w:hAnsi="Cambria"/>
        </w:rPr>
        <w:endnoteReference w:id="6"/>
      </w:r>
      <w:r w:rsidRPr="00812B0E">
        <w:rPr>
          <w:rFonts w:ascii="Cambria" w:hAnsi="Cambria"/>
        </w:rPr>
        <w:t>. It is clear from this that the benefits accrued from ecosystem services are significant, as are the potential costs if human impact degrades them. Additionally, the value of ecosystem services of the Greenbelt’s agricultural lands (including idle land</w:t>
      </w:r>
      <w:r>
        <w:rPr>
          <w:rFonts w:ascii="Cambria" w:hAnsi="Cambria"/>
        </w:rPr>
        <w:t>s</w:t>
      </w:r>
      <w:r w:rsidRPr="00812B0E">
        <w:rPr>
          <w:rFonts w:ascii="Cambria" w:hAnsi="Cambria"/>
        </w:rPr>
        <w:t>, hedgerows, and orchards) is estimated at $329 million annually</w:t>
      </w:r>
      <w:r w:rsidRPr="00812B0E">
        <w:rPr>
          <w:rStyle w:val="EndnoteReference"/>
          <w:rFonts w:ascii="Cambria" w:hAnsi="Cambria"/>
        </w:rPr>
        <w:endnoteReference w:id="7"/>
      </w:r>
      <w:r w:rsidRPr="00812B0E">
        <w:rPr>
          <w:rFonts w:ascii="Cambria" w:hAnsi="Cambria"/>
        </w:rPr>
        <w:t>. The main services derived from Ontario agricultural land</w:t>
      </w:r>
      <w:r>
        <w:rPr>
          <w:rFonts w:ascii="Cambria" w:hAnsi="Cambria"/>
        </w:rPr>
        <w:t>s</w:t>
      </w:r>
      <w:r w:rsidRPr="00812B0E">
        <w:rPr>
          <w:rFonts w:ascii="Cambria" w:hAnsi="Cambria"/>
        </w:rPr>
        <w:t xml:space="preserve"> include pollination, carbon storage in soils, and the cultural value of agricultural lands</w:t>
      </w:r>
      <w:r w:rsidRPr="00812B0E">
        <w:rPr>
          <w:rStyle w:val="EndnoteReference"/>
          <w:rFonts w:ascii="Cambria" w:hAnsi="Cambria"/>
        </w:rPr>
        <w:endnoteReference w:id="8"/>
      </w:r>
      <w:r w:rsidRPr="00812B0E">
        <w:rPr>
          <w:rFonts w:ascii="Cambria" w:hAnsi="Cambria"/>
        </w:rPr>
        <w:t xml:space="preserve">. </w:t>
      </w:r>
    </w:p>
    <w:p w:rsidR="002844EE" w:rsidRPr="00812B0E" w:rsidRDefault="00B9581A" w:rsidP="002844EE">
      <w:pPr>
        <w:jc w:val="both"/>
        <w:rPr>
          <w:rFonts w:ascii="Cambria" w:hAnsi="Cambria"/>
        </w:rPr>
      </w:pPr>
    </w:p>
    <w:p w:rsidR="002844EE" w:rsidRPr="00812B0E" w:rsidRDefault="000E129D" w:rsidP="002844EE">
      <w:pPr>
        <w:jc w:val="both"/>
        <w:rPr>
          <w:rFonts w:ascii="Cambria" w:hAnsi="Cambria"/>
          <w:b/>
        </w:rPr>
      </w:pPr>
      <w:r w:rsidRPr="00812B0E">
        <w:rPr>
          <w:rFonts w:ascii="Cambria" w:hAnsi="Cambria"/>
          <w:b/>
        </w:rPr>
        <w:t>How do Ontario farms contribute to ecosystem goods and services?</w:t>
      </w:r>
    </w:p>
    <w:p w:rsidR="002844EE" w:rsidRPr="00812B0E" w:rsidRDefault="00B9581A" w:rsidP="002844EE">
      <w:pPr>
        <w:jc w:val="both"/>
        <w:rPr>
          <w:rFonts w:ascii="Cambria" w:hAnsi="Cambria"/>
        </w:rPr>
      </w:pPr>
    </w:p>
    <w:p w:rsidR="002844EE" w:rsidRPr="00812B0E" w:rsidRDefault="000E129D" w:rsidP="002844EE">
      <w:pPr>
        <w:jc w:val="both"/>
        <w:rPr>
          <w:rFonts w:ascii="Cambria" w:hAnsi="Cambria"/>
        </w:rPr>
      </w:pPr>
      <w:r w:rsidRPr="00812B0E">
        <w:rPr>
          <w:rFonts w:ascii="Cambria" w:hAnsi="Cambria"/>
        </w:rPr>
        <w:t>In addition to being a local food source and a major economic driver for Ontario, farms and agricultural land</w:t>
      </w:r>
      <w:r>
        <w:rPr>
          <w:rFonts w:ascii="Cambria" w:hAnsi="Cambria"/>
        </w:rPr>
        <w:t>s</w:t>
      </w:r>
      <w:r w:rsidRPr="00812B0E">
        <w:rPr>
          <w:rFonts w:ascii="Cambria" w:hAnsi="Cambria"/>
        </w:rPr>
        <w:t xml:space="preserve"> </w:t>
      </w:r>
      <w:r>
        <w:rPr>
          <w:rFonts w:ascii="Cambria" w:hAnsi="Cambria"/>
        </w:rPr>
        <w:t xml:space="preserve">can also provide </w:t>
      </w:r>
      <w:r w:rsidRPr="00812B0E">
        <w:rPr>
          <w:rFonts w:ascii="Cambria" w:hAnsi="Cambria"/>
        </w:rPr>
        <w:t>ecosystem services. For example, Greenbelt agricultural land</w:t>
      </w:r>
      <w:r>
        <w:rPr>
          <w:rFonts w:ascii="Cambria" w:hAnsi="Cambria"/>
        </w:rPr>
        <w:t>s</w:t>
      </w:r>
      <w:r w:rsidRPr="00812B0E">
        <w:rPr>
          <w:rFonts w:ascii="Cambria" w:hAnsi="Cambria"/>
        </w:rPr>
        <w:t xml:space="preserve"> </w:t>
      </w:r>
      <w:r>
        <w:rPr>
          <w:rFonts w:ascii="Cambria" w:hAnsi="Cambria"/>
        </w:rPr>
        <w:t>are</w:t>
      </w:r>
      <w:r w:rsidRPr="00812B0E">
        <w:rPr>
          <w:rFonts w:ascii="Cambria" w:hAnsi="Cambria"/>
        </w:rPr>
        <w:t xml:space="preserve"> responsible for storing 40 million tonnes of carbon worth $157 million per year</w:t>
      </w:r>
      <w:r w:rsidRPr="00812B0E">
        <w:rPr>
          <w:rStyle w:val="EndnoteReference"/>
          <w:rFonts w:ascii="Cambria" w:hAnsi="Cambria"/>
        </w:rPr>
        <w:endnoteReference w:id="9"/>
      </w:r>
      <w:r w:rsidRPr="00812B0E">
        <w:rPr>
          <w:rFonts w:ascii="Cambria" w:hAnsi="Cambria"/>
        </w:rPr>
        <w:t>. The services provided by hedgerows (carbon sequestration, erosion control, nutrient cycling, soil formation, and pollination services) are valued at $12 million annually</w:t>
      </w:r>
      <w:r w:rsidRPr="00812B0E">
        <w:rPr>
          <w:rStyle w:val="EndnoteReference"/>
          <w:rFonts w:ascii="Cambria" w:hAnsi="Cambria"/>
        </w:rPr>
        <w:endnoteReference w:id="10"/>
      </w:r>
      <w:r w:rsidRPr="00812B0E">
        <w:rPr>
          <w:rFonts w:ascii="Cambria" w:hAnsi="Cambria"/>
        </w:rPr>
        <w:t>. Idle farmlands</w:t>
      </w:r>
      <w:r>
        <w:rPr>
          <w:rFonts w:ascii="Cambria" w:hAnsi="Cambria"/>
        </w:rPr>
        <w:t xml:space="preserve"> </w:t>
      </w:r>
      <w:r w:rsidRPr="00812B0E">
        <w:rPr>
          <w:rFonts w:ascii="Cambria" w:hAnsi="Cambria"/>
        </w:rPr>
        <w:t>provide valuable ecosystem services, similar to those received from hedgerows.</w:t>
      </w:r>
      <w:r>
        <w:rPr>
          <w:rFonts w:ascii="Cambria" w:hAnsi="Cambria"/>
        </w:rPr>
        <w:t xml:space="preserve"> Further, ecological farming practices help to further increase soil carbon, biodiversity and habitat, and water filtration. </w:t>
      </w:r>
    </w:p>
    <w:p w:rsidR="002844EE" w:rsidRPr="00812B0E" w:rsidRDefault="00B9581A" w:rsidP="002844EE">
      <w:pPr>
        <w:jc w:val="both"/>
        <w:rPr>
          <w:rFonts w:ascii="Cambria" w:hAnsi="Cambria"/>
        </w:rPr>
      </w:pPr>
    </w:p>
    <w:p w:rsidR="002844EE" w:rsidRPr="00812B0E" w:rsidRDefault="000E129D" w:rsidP="002844EE">
      <w:pPr>
        <w:jc w:val="both"/>
        <w:rPr>
          <w:rFonts w:ascii="Cambria" w:hAnsi="Cambria"/>
        </w:rPr>
      </w:pPr>
      <w:r w:rsidRPr="00812B0E">
        <w:rPr>
          <w:rFonts w:ascii="Cambria" w:hAnsi="Cambria"/>
        </w:rPr>
        <w:t>Ecosystem services accrued from farming benefit not only farmers, but also the entire population in the form of environmental quality, recreation, and aesthetic value</w:t>
      </w:r>
      <w:r w:rsidRPr="00812B0E">
        <w:rPr>
          <w:rStyle w:val="EndnoteReference"/>
          <w:rFonts w:ascii="Cambria" w:hAnsi="Cambria"/>
        </w:rPr>
        <w:endnoteReference w:id="11"/>
      </w:r>
      <w:r w:rsidRPr="00812B0E">
        <w:rPr>
          <w:rFonts w:ascii="Cambria" w:hAnsi="Cambria"/>
        </w:rPr>
        <w:t xml:space="preserve">. However, not all farming practices equally support and benefit ecosystem services. </w:t>
      </w:r>
      <w:r>
        <w:rPr>
          <w:rFonts w:ascii="Cambria" w:hAnsi="Cambria"/>
        </w:rPr>
        <w:t>Fossil-energy i</w:t>
      </w:r>
      <w:r w:rsidRPr="00812B0E">
        <w:rPr>
          <w:rFonts w:ascii="Cambria" w:hAnsi="Cambria"/>
        </w:rPr>
        <w:t>ntensive farming can lead to leaching of soil nutrients, pesticides entering the ground or surface water, and loss of habitat</w:t>
      </w:r>
      <w:r w:rsidRPr="00812B0E">
        <w:rPr>
          <w:rStyle w:val="EndnoteReference"/>
          <w:rFonts w:ascii="Cambria" w:hAnsi="Cambria"/>
        </w:rPr>
        <w:endnoteReference w:id="12"/>
      </w:r>
      <w:r w:rsidRPr="00812B0E">
        <w:rPr>
          <w:rFonts w:ascii="Cambria" w:hAnsi="Cambria"/>
        </w:rPr>
        <w:t>. Social, economic, and environmental pressures</w:t>
      </w:r>
      <w:r w:rsidRPr="00812B0E">
        <w:rPr>
          <w:rStyle w:val="EndnoteReference"/>
          <w:rFonts w:ascii="Cambria" w:hAnsi="Cambria"/>
        </w:rPr>
        <w:endnoteReference w:id="13"/>
      </w:r>
      <w:r w:rsidRPr="00812B0E">
        <w:rPr>
          <w:rFonts w:ascii="Cambria" w:hAnsi="Cambria"/>
        </w:rPr>
        <w:t xml:space="preserve"> often lead farmers to choose </w:t>
      </w:r>
      <w:r>
        <w:rPr>
          <w:rFonts w:ascii="Cambria" w:hAnsi="Cambria"/>
        </w:rPr>
        <w:t xml:space="preserve">fossil-energy </w:t>
      </w:r>
      <w:r w:rsidRPr="00812B0E">
        <w:rPr>
          <w:rFonts w:ascii="Cambria" w:hAnsi="Cambria"/>
        </w:rPr>
        <w:t>intensive farming practices over those that have ecosystem services benefits. Without adequate supports and system changes, it can be very difficult for farmers to adopt practices that conserve ecosystem services.</w:t>
      </w:r>
    </w:p>
    <w:p w:rsidR="002844EE" w:rsidRPr="00812B0E" w:rsidRDefault="00B9581A" w:rsidP="002844EE">
      <w:pPr>
        <w:jc w:val="both"/>
        <w:rPr>
          <w:rFonts w:ascii="Cambria" w:hAnsi="Cambria"/>
        </w:rPr>
      </w:pPr>
    </w:p>
    <w:p w:rsidR="002844EE" w:rsidRPr="00812B0E" w:rsidRDefault="000E129D" w:rsidP="002844EE">
      <w:pPr>
        <w:jc w:val="both"/>
        <w:rPr>
          <w:rFonts w:ascii="Cambria" w:hAnsi="Cambria"/>
          <w:b/>
        </w:rPr>
      </w:pPr>
      <w:r w:rsidRPr="00812B0E">
        <w:rPr>
          <w:rFonts w:ascii="Cambria" w:hAnsi="Cambria"/>
          <w:b/>
        </w:rPr>
        <w:t>How are ecosystem services being threatened?</w:t>
      </w:r>
    </w:p>
    <w:p w:rsidR="002844EE" w:rsidRPr="00812B0E" w:rsidRDefault="00B9581A" w:rsidP="002844EE">
      <w:pPr>
        <w:jc w:val="both"/>
        <w:rPr>
          <w:rFonts w:ascii="Cambria" w:hAnsi="Cambria"/>
        </w:rPr>
      </w:pPr>
    </w:p>
    <w:p w:rsidR="002844EE" w:rsidRPr="00812B0E" w:rsidRDefault="000E129D" w:rsidP="002844EE">
      <w:pPr>
        <w:jc w:val="both"/>
        <w:rPr>
          <w:rFonts w:ascii="Cambria" w:hAnsi="Cambria"/>
        </w:rPr>
      </w:pPr>
      <w:r w:rsidRPr="00812B0E">
        <w:rPr>
          <w:rFonts w:ascii="Cambria" w:hAnsi="Cambria"/>
        </w:rPr>
        <w:t xml:space="preserve">According to the Millennium Ecosystem Assessment, across the globe ecosystem services are being degraded and used inefficiently </w:t>
      </w:r>
      <w:r w:rsidRPr="00812B0E">
        <w:rPr>
          <w:rStyle w:val="EndnoteReference"/>
          <w:rFonts w:ascii="Cambria" w:hAnsi="Cambria"/>
        </w:rPr>
        <w:endnoteReference w:id="14"/>
      </w:r>
      <w:r w:rsidRPr="00812B0E">
        <w:rPr>
          <w:rFonts w:ascii="Cambria" w:hAnsi="Cambria"/>
        </w:rPr>
        <w:t>. Some evidence in the study suggested that changes in ecosystems are likely to have a domino effect within the ecosystem to the detriment of humans, including disease re-emergence and alterations in water quality</w:t>
      </w:r>
      <w:r w:rsidRPr="00812B0E">
        <w:rPr>
          <w:rStyle w:val="EndnoteReference"/>
          <w:rFonts w:ascii="Cambria" w:hAnsi="Cambria"/>
        </w:rPr>
        <w:endnoteReference w:id="15"/>
      </w:r>
      <w:r w:rsidRPr="00812B0E">
        <w:rPr>
          <w:rFonts w:ascii="Cambria" w:hAnsi="Cambria"/>
        </w:rPr>
        <w:t>. Furthermore, the effects of the degradation of ecosystems and their services have disproportionate effects on vulnerable populations and contribute to growing disparities and inequities</w:t>
      </w:r>
      <w:r w:rsidRPr="00812B0E">
        <w:rPr>
          <w:rStyle w:val="EndnoteReference"/>
          <w:rFonts w:ascii="Cambria" w:hAnsi="Cambria"/>
        </w:rPr>
        <w:endnoteReference w:id="16"/>
      </w:r>
      <w:r w:rsidRPr="00812B0E">
        <w:rPr>
          <w:rFonts w:ascii="Cambria" w:hAnsi="Cambria"/>
        </w:rPr>
        <w:t xml:space="preserve">. </w:t>
      </w:r>
    </w:p>
    <w:p w:rsidR="002844EE" w:rsidRPr="00812B0E" w:rsidRDefault="00B9581A" w:rsidP="002844EE">
      <w:pPr>
        <w:jc w:val="both"/>
        <w:rPr>
          <w:rFonts w:ascii="Cambria" w:hAnsi="Cambria"/>
        </w:rPr>
      </w:pPr>
    </w:p>
    <w:p w:rsidR="002844EE" w:rsidRPr="00812B0E" w:rsidRDefault="000E129D" w:rsidP="002844EE">
      <w:pPr>
        <w:jc w:val="both"/>
        <w:rPr>
          <w:rFonts w:ascii="Cambria" w:hAnsi="Cambria"/>
        </w:rPr>
      </w:pPr>
      <w:r w:rsidRPr="00812B0E">
        <w:rPr>
          <w:rFonts w:ascii="Cambria" w:hAnsi="Cambria"/>
        </w:rPr>
        <w:lastRenderedPageBreak/>
        <w:t>In Ontario specifically, changes in land use have resulted in the loss of agricultural land</w:t>
      </w:r>
      <w:r>
        <w:rPr>
          <w:rFonts w:ascii="Cambria" w:hAnsi="Cambria"/>
        </w:rPr>
        <w:t>s</w:t>
      </w:r>
      <w:r w:rsidRPr="00812B0E">
        <w:rPr>
          <w:rFonts w:ascii="Cambria" w:hAnsi="Cambria"/>
        </w:rPr>
        <w:t xml:space="preserve">, which </w:t>
      </w:r>
      <w:r>
        <w:rPr>
          <w:rFonts w:ascii="Cambria" w:hAnsi="Cambria"/>
        </w:rPr>
        <w:t>are</w:t>
      </w:r>
      <w:r w:rsidRPr="00812B0E">
        <w:rPr>
          <w:rFonts w:ascii="Cambria" w:hAnsi="Cambria"/>
        </w:rPr>
        <w:t xml:space="preserve"> often converted into urban areas. Land development has resulted in the loss of important ecosystems in Ontario that provide significant services. </w:t>
      </w:r>
      <w:r>
        <w:rPr>
          <w:rFonts w:ascii="Cambria" w:hAnsi="Cambria"/>
        </w:rPr>
        <w:t>More than</w:t>
      </w:r>
      <w:r w:rsidRPr="00812B0E">
        <w:rPr>
          <w:rFonts w:ascii="Cambria" w:hAnsi="Cambria"/>
        </w:rPr>
        <w:t xml:space="preserve"> 70% of the original wetland coverage across southern Ontario has been lost</w:t>
      </w:r>
      <w:r w:rsidRPr="00812B0E">
        <w:rPr>
          <w:rStyle w:val="EndnoteReference"/>
          <w:rFonts w:ascii="Cambria" w:hAnsi="Cambria"/>
        </w:rPr>
        <w:endnoteReference w:id="17"/>
      </w:r>
      <w:r w:rsidRPr="00812B0E">
        <w:rPr>
          <w:rFonts w:ascii="Cambria" w:hAnsi="Cambria"/>
        </w:rPr>
        <w:t xml:space="preserve"> and land development was a significant cause of this loss in the Golden Horseshoe. As stated above, the loss of these ecosystems and their services has many significant implications for Ontarians.</w:t>
      </w:r>
    </w:p>
    <w:p w:rsidR="002844EE" w:rsidRPr="00812B0E" w:rsidRDefault="00B9581A" w:rsidP="002844EE">
      <w:pPr>
        <w:rPr>
          <w:rFonts w:ascii="Cambria" w:hAnsi="Cambria"/>
        </w:rPr>
      </w:pPr>
    </w:p>
    <w:p w:rsidR="00DB1571" w:rsidRPr="00812B0E" w:rsidRDefault="000E129D" w:rsidP="002844EE">
      <w:pPr>
        <w:rPr>
          <w:rFonts w:ascii="Cambria" w:hAnsi="Cambria"/>
          <w:b/>
        </w:rPr>
      </w:pPr>
      <w:r w:rsidRPr="00812B0E">
        <w:rPr>
          <w:rFonts w:ascii="Cambria" w:hAnsi="Cambria"/>
          <w:b/>
        </w:rPr>
        <w:t>Recommendations</w:t>
      </w:r>
    </w:p>
    <w:p w:rsidR="002844EE" w:rsidRPr="00812B0E" w:rsidRDefault="00B9581A" w:rsidP="002844EE">
      <w:pPr>
        <w:rPr>
          <w:rFonts w:ascii="Cambria" w:hAnsi="Cambria"/>
        </w:rPr>
      </w:pPr>
    </w:p>
    <w:p w:rsidR="002844EE" w:rsidRPr="00812B0E" w:rsidRDefault="000E129D" w:rsidP="002844EE">
      <w:pPr>
        <w:rPr>
          <w:rFonts w:ascii="Cambria" w:hAnsi="Cambria"/>
        </w:rPr>
      </w:pPr>
      <w:r w:rsidRPr="00812B0E">
        <w:rPr>
          <w:rFonts w:ascii="Cambria" w:hAnsi="Cambria"/>
        </w:rPr>
        <w:sym w:font="Wingdings" w:char="F0E0"/>
      </w:r>
      <w:r>
        <w:rPr>
          <w:rFonts w:ascii="Cambria" w:hAnsi="Cambria"/>
        </w:rPr>
        <w:t xml:space="preserve"> </w:t>
      </w:r>
      <w:r w:rsidRPr="00812B0E">
        <w:rPr>
          <w:rFonts w:ascii="Cambria" w:hAnsi="Cambria"/>
        </w:rPr>
        <w:t>Continue</w:t>
      </w:r>
      <w:r>
        <w:rPr>
          <w:rFonts w:ascii="Cambria" w:hAnsi="Cambria"/>
        </w:rPr>
        <w:t>, expand,</w:t>
      </w:r>
      <w:r w:rsidRPr="00812B0E">
        <w:rPr>
          <w:rFonts w:ascii="Cambria" w:hAnsi="Cambria"/>
        </w:rPr>
        <w:t xml:space="preserve"> and strengthen the Environmental Farm Plan (EFP)</w:t>
      </w:r>
    </w:p>
    <w:p w:rsidR="002844EE" w:rsidRPr="00812B0E" w:rsidRDefault="000E129D" w:rsidP="002844EE">
      <w:pPr>
        <w:pStyle w:val="ListParagraph"/>
        <w:numPr>
          <w:ilvl w:val="0"/>
          <w:numId w:val="14"/>
        </w:numPr>
        <w:ind w:left="426"/>
        <w:rPr>
          <w:rFonts w:ascii="Cambria" w:hAnsi="Cambria"/>
        </w:rPr>
      </w:pPr>
      <w:r w:rsidRPr="00812B0E">
        <w:rPr>
          <w:rFonts w:ascii="Cambria" w:hAnsi="Cambria"/>
        </w:rPr>
        <w:t>Support environmental cost-share programs that help farmers implement plans under the EFP</w:t>
      </w:r>
    </w:p>
    <w:p w:rsidR="002844EE" w:rsidRDefault="000E129D" w:rsidP="002844EE">
      <w:pPr>
        <w:pStyle w:val="ListParagraph"/>
        <w:numPr>
          <w:ilvl w:val="0"/>
          <w:numId w:val="14"/>
        </w:numPr>
        <w:ind w:left="426"/>
        <w:rPr>
          <w:rFonts w:ascii="Cambria" w:hAnsi="Cambria"/>
        </w:rPr>
      </w:pPr>
      <w:r w:rsidRPr="00812B0E">
        <w:rPr>
          <w:rFonts w:ascii="Cambria" w:hAnsi="Cambria"/>
        </w:rPr>
        <w:t>Develop further initiatives aimed at increasing voluntary environmental awareness and protection</w:t>
      </w:r>
    </w:p>
    <w:p w:rsidR="00EC6AA7" w:rsidRPr="00812B0E" w:rsidRDefault="000E129D" w:rsidP="002844EE">
      <w:pPr>
        <w:pStyle w:val="ListParagraph"/>
        <w:numPr>
          <w:ilvl w:val="0"/>
          <w:numId w:val="14"/>
        </w:numPr>
        <w:ind w:left="426"/>
        <w:rPr>
          <w:rFonts w:ascii="Cambria" w:hAnsi="Cambria"/>
        </w:rPr>
      </w:pPr>
      <w:r w:rsidRPr="00D1457A">
        <w:rPr>
          <w:rFonts w:ascii="Cambria" w:hAnsi="Cambria"/>
        </w:rPr>
        <w:t>Support, through the EFP cost share programming, conversion from conventional to organic and ecological growing techniques</w:t>
      </w:r>
    </w:p>
    <w:p w:rsidR="002844EE" w:rsidRPr="00812B0E" w:rsidRDefault="00B9581A" w:rsidP="002844EE">
      <w:pPr>
        <w:rPr>
          <w:rFonts w:ascii="Cambria" w:hAnsi="Cambria"/>
        </w:rPr>
      </w:pPr>
    </w:p>
    <w:p w:rsidR="002844EE" w:rsidRPr="00812B0E" w:rsidRDefault="000E129D" w:rsidP="002844EE">
      <w:pPr>
        <w:rPr>
          <w:rFonts w:ascii="Cambria" w:hAnsi="Cambria"/>
        </w:rPr>
      </w:pPr>
      <w:r w:rsidRPr="00812B0E">
        <w:rPr>
          <w:rFonts w:ascii="Cambria" w:hAnsi="Cambria"/>
        </w:rPr>
        <w:sym w:font="Wingdings" w:char="F0E0"/>
      </w:r>
      <w:r w:rsidRPr="00812B0E">
        <w:rPr>
          <w:rFonts w:ascii="Cambria" w:hAnsi="Cambria"/>
        </w:rPr>
        <w:t>Develop</w:t>
      </w:r>
      <w:r>
        <w:rPr>
          <w:rFonts w:ascii="Cambria" w:hAnsi="Cambria"/>
        </w:rPr>
        <w:t xml:space="preserve"> and champion mechanisms to support farmers in providing ecological goods and services that result from ecological farming activities, farmland preservation and wildlife preservation. </w:t>
      </w:r>
    </w:p>
    <w:p w:rsidR="002844EE" w:rsidRPr="00D32DA1" w:rsidRDefault="000E129D" w:rsidP="002844EE">
      <w:pPr>
        <w:pStyle w:val="ListParagraph"/>
        <w:numPr>
          <w:ilvl w:val="0"/>
          <w:numId w:val="13"/>
        </w:numPr>
        <w:rPr>
          <w:rFonts w:ascii="Cambria" w:hAnsi="Cambria"/>
        </w:rPr>
      </w:pPr>
      <w:r w:rsidRPr="00D32DA1">
        <w:rPr>
          <w:rFonts w:ascii="Cambria" w:hAnsi="Cambria"/>
        </w:rPr>
        <w:t xml:space="preserve"> Build upon the success of the community based Alte</w:t>
      </w:r>
      <w:r>
        <w:rPr>
          <w:rFonts w:ascii="Cambria" w:hAnsi="Cambria"/>
        </w:rPr>
        <w:t>rnative Land Use Services model and other regional ecological goods and services programs</w:t>
      </w:r>
    </w:p>
    <w:p w:rsidR="002844EE" w:rsidRDefault="000E129D" w:rsidP="002844EE">
      <w:pPr>
        <w:pStyle w:val="ListParagraph"/>
        <w:numPr>
          <w:ilvl w:val="0"/>
          <w:numId w:val="13"/>
        </w:numPr>
        <w:rPr>
          <w:rFonts w:ascii="Cambria" w:hAnsi="Cambria"/>
        </w:rPr>
      </w:pPr>
      <w:r>
        <w:rPr>
          <w:rFonts w:ascii="Cambria" w:hAnsi="Cambria"/>
        </w:rPr>
        <w:t xml:space="preserve"> Develop </w:t>
      </w:r>
      <w:r w:rsidRPr="00D32DA1">
        <w:rPr>
          <w:rFonts w:ascii="Cambria" w:hAnsi="Cambria"/>
        </w:rPr>
        <w:t xml:space="preserve">quantification techniques to accurately value ecosystem services from </w:t>
      </w:r>
      <w:r>
        <w:rPr>
          <w:rFonts w:ascii="Cambria" w:hAnsi="Cambria"/>
        </w:rPr>
        <w:t>farm</w:t>
      </w:r>
      <w:r w:rsidRPr="00D32DA1">
        <w:rPr>
          <w:rFonts w:ascii="Cambria" w:hAnsi="Cambria"/>
        </w:rPr>
        <w:t>land</w:t>
      </w:r>
      <w:r>
        <w:rPr>
          <w:rFonts w:ascii="Cambria" w:hAnsi="Cambria"/>
        </w:rPr>
        <w:t xml:space="preserve"> and ecological farming activities</w:t>
      </w:r>
      <w:r w:rsidRPr="00D32DA1">
        <w:rPr>
          <w:rFonts w:ascii="Cambria" w:hAnsi="Cambria"/>
        </w:rPr>
        <w:t>.</w:t>
      </w:r>
    </w:p>
    <w:p w:rsidR="00A86820" w:rsidRPr="00D32DA1" w:rsidRDefault="000E129D" w:rsidP="002844EE">
      <w:pPr>
        <w:pStyle w:val="ListParagraph"/>
        <w:numPr>
          <w:ilvl w:val="0"/>
          <w:numId w:val="13"/>
        </w:numPr>
        <w:rPr>
          <w:rFonts w:ascii="Cambria" w:hAnsi="Cambria"/>
        </w:rPr>
      </w:pPr>
      <w:r w:rsidRPr="00812B0E">
        <w:rPr>
          <w:rFonts w:ascii="Cambria" w:hAnsi="Cambria"/>
        </w:rPr>
        <w:t>Develop tracking mechanisms and third party certification of the value of ecosystems services</w:t>
      </w:r>
    </w:p>
    <w:p w:rsidR="002844EE" w:rsidRDefault="000E129D" w:rsidP="002844EE">
      <w:pPr>
        <w:pStyle w:val="ListParagraph"/>
        <w:numPr>
          <w:ilvl w:val="0"/>
          <w:numId w:val="13"/>
        </w:numPr>
        <w:rPr>
          <w:rFonts w:ascii="Cambria" w:hAnsi="Cambria"/>
        </w:rPr>
      </w:pPr>
      <w:r>
        <w:rPr>
          <w:rFonts w:ascii="Cambria" w:hAnsi="Cambria"/>
        </w:rPr>
        <w:t>E</w:t>
      </w:r>
      <w:r w:rsidRPr="00D32DA1">
        <w:rPr>
          <w:rFonts w:ascii="Cambria" w:hAnsi="Cambria"/>
        </w:rPr>
        <w:t>ngage the farm comm</w:t>
      </w:r>
      <w:r>
        <w:rPr>
          <w:rFonts w:ascii="Cambria" w:hAnsi="Cambria"/>
        </w:rPr>
        <w:t xml:space="preserve">unity in becoming effective managers of </w:t>
      </w:r>
      <w:r w:rsidRPr="00D32DA1">
        <w:rPr>
          <w:rFonts w:ascii="Cambria" w:hAnsi="Cambria"/>
        </w:rPr>
        <w:t>restoration sites important for environmental wellness.</w:t>
      </w:r>
    </w:p>
    <w:p w:rsidR="002844EE" w:rsidRDefault="00B9581A" w:rsidP="002844EE">
      <w:pPr>
        <w:rPr>
          <w:rFonts w:ascii="Cambria" w:hAnsi="Cambria"/>
        </w:rPr>
      </w:pPr>
    </w:p>
    <w:p w:rsidR="002844EE" w:rsidRPr="00812B0E" w:rsidRDefault="000E129D" w:rsidP="002844EE">
      <w:pPr>
        <w:rPr>
          <w:rFonts w:ascii="Cambria" w:hAnsi="Cambria"/>
        </w:rPr>
      </w:pPr>
      <w:r w:rsidRPr="00812B0E">
        <w:rPr>
          <w:rFonts w:ascii="Cambria" w:hAnsi="Cambria"/>
        </w:rPr>
        <w:sym w:font="Wingdings" w:char="F0E0"/>
      </w:r>
      <w:r>
        <w:rPr>
          <w:rFonts w:ascii="Cambria" w:hAnsi="Cambria"/>
        </w:rPr>
        <w:t xml:space="preserve"> </w:t>
      </w:r>
      <w:r w:rsidRPr="00812B0E">
        <w:rPr>
          <w:rFonts w:ascii="Cambria" w:hAnsi="Cambria"/>
        </w:rPr>
        <w:t xml:space="preserve">Support farmers who contribute to endangered species preservation </w:t>
      </w:r>
    </w:p>
    <w:p w:rsidR="002844EE" w:rsidRPr="00812B0E" w:rsidRDefault="000E129D" w:rsidP="002844EE">
      <w:pPr>
        <w:pStyle w:val="ListParagraph"/>
        <w:numPr>
          <w:ilvl w:val="0"/>
          <w:numId w:val="10"/>
        </w:numPr>
        <w:ind w:left="426"/>
        <w:rPr>
          <w:rFonts w:ascii="Cambria" w:hAnsi="Cambria"/>
        </w:rPr>
      </w:pPr>
      <w:r w:rsidRPr="00812B0E">
        <w:rPr>
          <w:rFonts w:ascii="Cambria" w:hAnsi="Cambria"/>
        </w:rPr>
        <w:t>Establish a system for creating volu</w:t>
      </w:r>
      <w:r>
        <w:rPr>
          <w:rFonts w:ascii="Cambria" w:hAnsi="Cambria"/>
        </w:rPr>
        <w:t>ntary, time-limited safe-</w:t>
      </w:r>
      <w:proofErr w:type="spellStart"/>
      <w:r>
        <w:rPr>
          <w:rFonts w:ascii="Cambria" w:hAnsi="Cambria"/>
        </w:rPr>
        <w:t>harbour</w:t>
      </w:r>
      <w:proofErr w:type="spellEnd"/>
      <w:r>
        <w:rPr>
          <w:rFonts w:ascii="Cambria" w:hAnsi="Cambria"/>
        </w:rPr>
        <w:t xml:space="preserve"> stewardship </w:t>
      </w:r>
      <w:r w:rsidRPr="00812B0E">
        <w:rPr>
          <w:rFonts w:ascii="Cambria" w:hAnsi="Cambria"/>
        </w:rPr>
        <w:t xml:space="preserve">agreements </w:t>
      </w:r>
      <w:r>
        <w:rPr>
          <w:rFonts w:ascii="Cambria" w:hAnsi="Cambria"/>
        </w:rPr>
        <w:t>that</w:t>
      </w:r>
      <w:r w:rsidRPr="00812B0E">
        <w:rPr>
          <w:rFonts w:ascii="Cambria" w:hAnsi="Cambria"/>
        </w:rPr>
        <w:t xml:space="preserve"> ensure that if a landowner restores habitat for an endangered species, they will retain the option of undoing those actions at a later date. </w:t>
      </w:r>
    </w:p>
    <w:p w:rsidR="002844EE" w:rsidRDefault="000E129D" w:rsidP="002844EE">
      <w:pPr>
        <w:pStyle w:val="ListParagraph"/>
        <w:numPr>
          <w:ilvl w:val="0"/>
          <w:numId w:val="10"/>
        </w:numPr>
        <w:ind w:left="426"/>
        <w:rPr>
          <w:rFonts w:ascii="Cambria" w:hAnsi="Cambria"/>
        </w:rPr>
      </w:pPr>
      <w:r w:rsidRPr="00812B0E">
        <w:rPr>
          <w:rFonts w:ascii="Cambria" w:hAnsi="Cambria"/>
        </w:rPr>
        <w:t>Ensure that these agreements cover “incidental take” (harm to a species) that may occur throughout the duration of the agreement</w:t>
      </w:r>
    </w:p>
    <w:p w:rsidR="002844EE" w:rsidRPr="000A6E56" w:rsidRDefault="000E129D" w:rsidP="002844EE">
      <w:pPr>
        <w:pStyle w:val="ListParagraph"/>
        <w:numPr>
          <w:ilvl w:val="0"/>
          <w:numId w:val="10"/>
        </w:numPr>
        <w:ind w:left="426"/>
        <w:rPr>
          <w:rFonts w:ascii="Cambria" w:hAnsi="Cambria"/>
        </w:rPr>
      </w:pPr>
      <w:r w:rsidRPr="000A6E56">
        <w:rPr>
          <w:rFonts w:ascii="Cambria" w:hAnsi="Cambria"/>
        </w:rPr>
        <w:t xml:space="preserve">Implement off-setting for overall benefit under the Endangered Species Act. </w:t>
      </w:r>
    </w:p>
    <w:p w:rsidR="002844EE" w:rsidRDefault="00B9581A">
      <w:pPr>
        <w:rPr>
          <w:rFonts w:ascii="Cambria" w:hAnsi="Cambria"/>
        </w:rPr>
      </w:pPr>
    </w:p>
    <w:p w:rsidR="002A51EB" w:rsidRDefault="00B9581A" w:rsidP="002A51EB">
      <w:pPr>
        <w:rPr>
          <w:rFonts w:ascii="Cambria" w:hAnsi="Cambria"/>
        </w:rPr>
      </w:pPr>
    </w:p>
    <w:p w:rsidR="002844EE" w:rsidRPr="00812B0E" w:rsidRDefault="000E129D" w:rsidP="002844EE">
      <w:pPr>
        <w:rPr>
          <w:rFonts w:ascii="Cambria" w:hAnsi="Cambria"/>
        </w:rPr>
      </w:pPr>
      <w:r w:rsidRPr="00812B0E">
        <w:rPr>
          <w:rFonts w:ascii="Cambria" w:hAnsi="Cambria"/>
        </w:rPr>
        <w:sym w:font="Wingdings" w:char="F0E0"/>
      </w:r>
      <w:r>
        <w:rPr>
          <w:rFonts w:ascii="Cambria" w:hAnsi="Cambria"/>
        </w:rPr>
        <w:t xml:space="preserve"> </w:t>
      </w:r>
      <w:r w:rsidRPr="00812B0E">
        <w:rPr>
          <w:rFonts w:ascii="Cambria" w:hAnsi="Cambria"/>
        </w:rPr>
        <w:t xml:space="preserve">Support Ecological </w:t>
      </w:r>
      <w:r>
        <w:rPr>
          <w:rFonts w:ascii="Cambria" w:hAnsi="Cambria"/>
        </w:rPr>
        <w:t xml:space="preserve">and Organic </w:t>
      </w:r>
      <w:r w:rsidRPr="00812B0E">
        <w:rPr>
          <w:rFonts w:ascii="Cambria" w:hAnsi="Cambria"/>
        </w:rPr>
        <w:t>Farming</w:t>
      </w:r>
    </w:p>
    <w:p w:rsidR="002844EE" w:rsidRPr="00812B0E" w:rsidRDefault="000E129D" w:rsidP="002844EE">
      <w:pPr>
        <w:pStyle w:val="ListParagraph"/>
        <w:numPr>
          <w:ilvl w:val="0"/>
          <w:numId w:val="12"/>
        </w:numPr>
        <w:ind w:left="426"/>
        <w:rPr>
          <w:rFonts w:ascii="Cambria" w:hAnsi="Cambria"/>
        </w:rPr>
      </w:pPr>
      <w:r w:rsidRPr="00812B0E">
        <w:rPr>
          <w:rFonts w:ascii="Cambria" w:hAnsi="Cambria"/>
        </w:rPr>
        <w:t xml:space="preserve">Recognize that </w:t>
      </w:r>
      <w:r>
        <w:rPr>
          <w:rFonts w:ascii="Cambria" w:hAnsi="Cambria"/>
        </w:rPr>
        <w:t xml:space="preserve">fossil-energy </w:t>
      </w:r>
      <w:r w:rsidRPr="00812B0E">
        <w:rPr>
          <w:rFonts w:ascii="Cambria" w:hAnsi="Cambria"/>
        </w:rPr>
        <w:t xml:space="preserve">intensive farming practices rely on </w:t>
      </w:r>
      <w:r>
        <w:rPr>
          <w:rFonts w:ascii="Cambria" w:hAnsi="Cambria"/>
        </w:rPr>
        <w:t xml:space="preserve">non-renewable and ecologically harmful inputs </w:t>
      </w:r>
      <w:r w:rsidRPr="00812B0E">
        <w:rPr>
          <w:rFonts w:ascii="Cambria" w:hAnsi="Cambria"/>
        </w:rPr>
        <w:t xml:space="preserve">and can result in loss of biodiversity </w:t>
      </w:r>
      <w:r>
        <w:rPr>
          <w:rFonts w:ascii="Cambria" w:hAnsi="Cambria"/>
        </w:rPr>
        <w:t>and</w:t>
      </w:r>
      <w:r w:rsidRPr="00812B0E">
        <w:rPr>
          <w:rFonts w:ascii="Cambria" w:hAnsi="Cambria"/>
        </w:rPr>
        <w:t xml:space="preserve"> harmful human and environmental health</w:t>
      </w:r>
      <w:r>
        <w:rPr>
          <w:rFonts w:ascii="Cambria" w:hAnsi="Cambria"/>
        </w:rPr>
        <w:t xml:space="preserve"> impacts</w:t>
      </w:r>
      <w:r w:rsidRPr="00812B0E">
        <w:rPr>
          <w:rStyle w:val="EndnoteReference"/>
          <w:rFonts w:ascii="Cambria" w:hAnsi="Cambria"/>
        </w:rPr>
        <w:endnoteReference w:id="18"/>
      </w:r>
    </w:p>
    <w:p w:rsidR="002844EE" w:rsidRPr="00812B0E" w:rsidRDefault="000E129D" w:rsidP="002844EE">
      <w:pPr>
        <w:pStyle w:val="ListParagraph"/>
        <w:numPr>
          <w:ilvl w:val="0"/>
          <w:numId w:val="12"/>
        </w:numPr>
        <w:ind w:left="426"/>
        <w:rPr>
          <w:rFonts w:ascii="Cambria" w:hAnsi="Cambria"/>
        </w:rPr>
      </w:pPr>
      <w:r w:rsidRPr="00812B0E">
        <w:rPr>
          <w:rFonts w:ascii="Cambria" w:hAnsi="Cambria"/>
        </w:rPr>
        <w:lastRenderedPageBreak/>
        <w:t>Expand support for ecological farming practices that aim to protect human and environmental health and ecosystem services, and maintain biodiversity and soil fertility.</w:t>
      </w:r>
    </w:p>
    <w:p w:rsidR="002844EE" w:rsidRPr="00812B0E" w:rsidRDefault="00B9581A" w:rsidP="002844EE">
      <w:pPr>
        <w:rPr>
          <w:rFonts w:ascii="Cambria" w:hAnsi="Cambria"/>
        </w:rPr>
      </w:pPr>
    </w:p>
    <w:p w:rsidR="002844EE" w:rsidRPr="00812B0E" w:rsidRDefault="00B9581A" w:rsidP="002844EE">
      <w:pPr>
        <w:rPr>
          <w:rFonts w:ascii="Cambria" w:hAnsi="Cambria"/>
        </w:rPr>
      </w:pPr>
    </w:p>
    <w:sectPr w:rsidR="002844EE" w:rsidRPr="00812B0E" w:rsidSect="002844EE">
      <w:footerReference w:type="even"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29D" w:rsidRDefault="000E129D" w:rsidP="002844EE">
      <w:r>
        <w:separator/>
      </w:r>
    </w:p>
  </w:endnote>
  <w:endnote w:type="continuationSeparator" w:id="0">
    <w:p w:rsidR="000E129D" w:rsidRDefault="000E129D" w:rsidP="002844EE">
      <w:r>
        <w:continuationSeparator/>
      </w:r>
    </w:p>
  </w:endnote>
  <w:endnote w:id="1">
    <w:p w:rsidR="004A27A0" w:rsidRPr="008352F7" w:rsidRDefault="000E129D" w:rsidP="002844EE">
      <w:pPr>
        <w:pStyle w:val="Bibliography"/>
        <w:rPr>
          <w:rFonts w:ascii="Times" w:hAnsi="Times"/>
          <w:noProof/>
          <w:sz w:val="20"/>
          <w:szCs w:val="20"/>
        </w:rPr>
      </w:pPr>
      <w:r w:rsidRPr="008352F7">
        <w:rPr>
          <w:rStyle w:val="EndnoteReference"/>
          <w:rFonts w:ascii="Times" w:hAnsi="Times"/>
          <w:sz w:val="20"/>
          <w:szCs w:val="20"/>
        </w:rPr>
        <w:endnoteRef/>
      </w:r>
      <w:r w:rsidRPr="008352F7">
        <w:rPr>
          <w:rFonts w:ascii="Times" w:hAnsi="Times"/>
          <w:sz w:val="20"/>
          <w:szCs w:val="20"/>
        </w:rPr>
        <w:t xml:space="preserve"> </w:t>
      </w:r>
      <w:r w:rsidRPr="008352F7">
        <w:rPr>
          <w:rFonts w:ascii="Times" w:hAnsi="Times"/>
          <w:noProof/>
          <w:sz w:val="20"/>
          <w:szCs w:val="20"/>
        </w:rPr>
        <w:t xml:space="preserve">Goldman, R. (2010). Ecosystem services: how people benefit from nature. </w:t>
      </w:r>
      <w:r w:rsidRPr="008352F7">
        <w:rPr>
          <w:rFonts w:ascii="Times" w:hAnsi="Times"/>
          <w:i/>
          <w:iCs/>
          <w:noProof/>
          <w:sz w:val="20"/>
          <w:szCs w:val="20"/>
        </w:rPr>
        <w:t>Environment Magazine</w:t>
      </w:r>
      <w:r w:rsidRPr="008352F7">
        <w:rPr>
          <w:rFonts w:ascii="Times" w:hAnsi="Times"/>
          <w:noProof/>
          <w:sz w:val="20"/>
          <w:szCs w:val="20"/>
        </w:rPr>
        <w:t xml:space="preserve"> </w:t>
      </w:r>
      <w:r w:rsidRPr="008352F7">
        <w:rPr>
          <w:rFonts w:ascii="Times" w:hAnsi="Times"/>
          <w:i/>
          <w:iCs/>
          <w:noProof/>
          <w:sz w:val="20"/>
          <w:szCs w:val="20"/>
        </w:rPr>
        <w:t>, 52</w:t>
      </w:r>
      <w:r w:rsidRPr="008352F7">
        <w:rPr>
          <w:rFonts w:ascii="Times" w:hAnsi="Times"/>
          <w:noProof/>
          <w:sz w:val="20"/>
          <w:szCs w:val="20"/>
        </w:rPr>
        <w:t xml:space="preserve"> (5), 15-23.</w:t>
      </w:r>
    </w:p>
  </w:endnote>
  <w:endnote w:id="2">
    <w:p w:rsidR="004A27A0" w:rsidRPr="008352F7" w:rsidRDefault="000E129D" w:rsidP="002844EE">
      <w:pPr>
        <w:pStyle w:val="Bibliography"/>
        <w:rPr>
          <w:rFonts w:ascii="Times" w:hAnsi="Times"/>
          <w:noProof/>
          <w:sz w:val="20"/>
          <w:szCs w:val="20"/>
        </w:rPr>
      </w:pPr>
      <w:r w:rsidRPr="008352F7">
        <w:rPr>
          <w:rStyle w:val="EndnoteReference"/>
          <w:rFonts w:ascii="Times" w:hAnsi="Times"/>
          <w:sz w:val="20"/>
          <w:szCs w:val="20"/>
        </w:rPr>
        <w:endnoteRef/>
      </w:r>
      <w:r w:rsidRPr="008352F7">
        <w:rPr>
          <w:rFonts w:ascii="Times" w:hAnsi="Times"/>
          <w:sz w:val="20"/>
          <w:szCs w:val="20"/>
        </w:rPr>
        <w:t xml:space="preserve"> </w:t>
      </w:r>
      <w:r w:rsidRPr="008352F7">
        <w:rPr>
          <w:rFonts w:ascii="Times" w:hAnsi="Times"/>
          <w:noProof/>
          <w:sz w:val="20"/>
          <w:szCs w:val="20"/>
        </w:rPr>
        <w:t xml:space="preserve">Millennium Ecosystem Assessment. (2005). </w:t>
      </w:r>
      <w:r w:rsidRPr="008352F7">
        <w:rPr>
          <w:rFonts w:ascii="Times" w:hAnsi="Times"/>
          <w:i/>
          <w:iCs/>
          <w:noProof/>
          <w:sz w:val="20"/>
          <w:szCs w:val="20"/>
        </w:rPr>
        <w:t>Ecosystems and human well-being: synthesis.</w:t>
      </w:r>
      <w:r w:rsidRPr="008352F7">
        <w:rPr>
          <w:rFonts w:ascii="Times" w:hAnsi="Times"/>
          <w:noProof/>
          <w:sz w:val="20"/>
          <w:szCs w:val="20"/>
        </w:rPr>
        <w:t xml:space="preserve"> Washington D.C.: Island Press.</w:t>
      </w:r>
    </w:p>
  </w:endnote>
  <w:endnote w:id="3">
    <w:p w:rsidR="004A27A0" w:rsidRPr="008352F7" w:rsidRDefault="000E129D" w:rsidP="002844EE">
      <w:pPr>
        <w:pStyle w:val="EndnoteText"/>
        <w:rPr>
          <w:rFonts w:ascii="Times" w:hAnsi="Times"/>
          <w:sz w:val="20"/>
          <w:szCs w:val="20"/>
        </w:rPr>
      </w:pPr>
      <w:r w:rsidRPr="008352F7">
        <w:rPr>
          <w:rStyle w:val="EndnoteReference"/>
          <w:rFonts w:ascii="Times" w:hAnsi="Times"/>
          <w:sz w:val="20"/>
          <w:szCs w:val="20"/>
        </w:rPr>
        <w:endnoteRef/>
      </w:r>
      <w:r w:rsidRPr="008352F7">
        <w:rPr>
          <w:rFonts w:ascii="Times" w:hAnsi="Times"/>
          <w:sz w:val="20"/>
          <w:szCs w:val="20"/>
        </w:rPr>
        <w:t xml:space="preserve"> Goldman, 2010</w:t>
      </w:r>
    </w:p>
  </w:endnote>
  <w:endnote w:id="4">
    <w:p w:rsidR="004A27A0" w:rsidRPr="008352F7" w:rsidRDefault="000E129D" w:rsidP="002844EE">
      <w:pPr>
        <w:pStyle w:val="Bibliography"/>
        <w:rPr>
          <w:rFonts w:ascii="Times" w:hAnsi="Times"/>
          <w:noProof/>
          <w:sz w:val="20"/>
          <w:szCs w:val="20"/>
        </w:rPr>
      </w:pPr>
      <w:r w:rsidRPr="008352F7">
        <w:rPr>
          <w:rStyle w:val="EndnoteReference"/>
          <w:rFonts w:ascii="Times" w:hAnsi="Times"/>
          <w:sz w:val="20"/>
          <w:szCs w:val="20"/>
        </w:rPr>
        <w:endnoteRef/>
      </w:r>
      <w:r w:rsidRPr="008352F7">
        <w:rPr>
          <w:rFonts w:ascii="Times" w:hAnsi="Times"/>
          <w:sz w:val="20"/>
          <w:szCs w:val="20"/>
        </w:rPr>
        <w:t xml:space="preserve"> </w:t>
      </w:r>
      <w:r w:rsidRPr="008352F7">
        <w:rPr>
          <w:rFonts w:ascii="Times" w:hAnsi="Times"/>
          <w:noProof/>
          <w:sz w:val="20"/>
          <w:szCs w:val="20"/>
        </w:rPr>
        <w:t xml:space="preserve">Puddister, M., &amp; Koveshnikova, T. (2011). </w:t>
      </w:r>
      <w:r w:rsidRPr="008352F7">
        <w:rPr>
          <w:rFonts w:ascii="Times" w:hAnsi="Times"/>
          <w:i/>
          <w:iCs/>
          <w:noProof/>
          <w:sz w:val="20"/>
          <w:szCs w:val="20"/>
        </w:rPr>
        <w:t>The value of ecological goods and services in the credit river watershed: the implications for greenbelt restoration.</w:t>
      </w:r>
      <w:r w:rsidRPr="008352F7">
        <w:rPr>
          <w:rFonts w:ascii="Times" w:hAnsi="Times"/>
          <w:noProof/>
          <w:sz w:val="20"/>
          <w:szCs w:val="20"/>
        </w:rPr>
        <w:t xml:space="preserve"> </w:t>
      </w:r>
    </w:p>
  </w:endnote>
  <w:endnote w:id="5">
    <w:p w:rsidR="004A27A0" w:rsidRDefault="000E129D">
      <w:pPr>
        <w:pStyle w:val="EndnoteText"/>
      </w:pPr>
      <w:r w:rsidRPr="00DF32F9">
        <w:rPr>
          <w:rStyle w:val="FootnoteReference"/>
          <w:rFonts w:ascii="HelveticaNeueLT Std" w:hAnsi="HelveticaNeueLT Std"/>
          <w:sz w:val="20"/>
          <w:szCs w:val="20"/>
        </w:rPr>
        <w:endnoteRef/>
      </w:r>
      <w:r w:rsidRPr="002A51EB">
        <w:rPr>
          <w:rFonts w:ascii="Times" w:hAnsi="Times" w:cs="Arial"/>
          <w:iCs/>
          <w:sz w:val="20"/>
          <w:szCs w:val="20"/>
        </w:rPr>
        <w:t xml:space="preserve">Spatial Informatics Group, Austin Troy &amp; Ken </w:t>
      </w:r>
      <w:proofErr w:type="spellStart"/>
      <w:r w:rsidRPr="002A51EB">
        <w:rPr>
          <w:rFonts w:ascii="Times" w:hAnsi="Times" w:cs="Arial"/>
          <w:iCs/>
          <w:sz w:val="20"/>
          <w:szCs w:val="20"/>
        </w:rPr>
        <w:t>Bagstad</w:t>
      </w:r>
      <w:proofErr w:type="spellEnd"/>
      <w:r w:rsidRPr="002A51EB">
        <w:rPr>
          <w:rFonts w:ascii="Times" w:hAnsi="Times" w:cs="Arial"/>
          <w:iCs/>
          <w:sz w:val="20"/>
          <w:szCs w:val="20"/>
        </w:rPr>
        <w:t xml:space="preserve">, (2009). </w:t>
      </w:r>
      <w:r w:rsidRPr="002A51EB">
        <w:rPr>
          <w:rFonts w:ascii="Times" w:hAnsi="Times" w:cs="Arial"/>
          <w:bCs/>
          <w:i/>
          <w:sz w:val="20"/>
          <w:szCs w:val="20"/>
        </w:rPr>
        <w:t>Estimating Ecosystem Services in Southern Ontario</w:t>
      </w:r>
      <w:r w:rsidRPr="002A51EB">
        <w:rPr>
          <w:rFonts w:ascii="Times" w:hAnsi="Times" w:cs="Arial"/>
          <w:bCs/>
          <w:sz w:val="20"/>
          <w:szCs w:val="20"/>
        </w:rPr>
        <w:t xml:space="preserve">, </w:t>
      </w:r>
      <w:r w:rsidRPr="002A51EB">
        <w:rPr>
          <w:rFonts w:ascii="Times" w:hAnsi="Times" w:cs="Arial"/>
          <w:iCs/>
          <w:sz w:val="20"/>
          <w:szCs w:val="20"/>
        </w:rPr>
        <w:t>commissioned by the Southern Region Planning Unit of the Ontario Ministry of Natural Resources</w:t>
      </w:r>
    </w:p>
  </w:endnote>
  <w:endnote w:id="6">
    <w:p w:rsidR="004A27A0" w:rsidRPr="008352F7" w:rsidRDefault="000E129D" w:rsidP="002844EE">
      <w:pPr>
        <w:pStyle w:val="Bibliography"/>
        <w:rPr>
          <w:rFonts w:ascii="Times" w:hAnsi="Times"/>
          <w:noProof/>
          <w:sz w:val="20"/>
          <w:szCs w:val="20"/>
        </w:rPr>
      </w:pPr>
      <w:r w:rsidRPr="008352F7">
        <w:rPr>
          <w:rStyle w:val="EndnoteReference"/>
          <w:rFonts w:ascii="Times" w:hAnsi="Times"/>
          <w:sz w:val="20"/>
          <w:szCs w:val="20"/>
        </w:rPr>
        <w:endnoteRef/>
      </w:r>
      <w:r w:rsidRPr="008352F7">
        <w:rPr>
          <w:rFonts w:ascii="Times" w:hAnsi="Times"/>
          <w:sz w:val="20"/>
          <w:szCs w:val="20"/>
        </w:rPr>
        <w:t xml:space="preserve"> </w:t>
      </w:r>
      <w:r w:rsidRPr="008352F7">
        <w:rPr>
          <w:rFonts w:ascii="Times" w:hAnsi="Times"/>
          <w:noProof/>
          <w:sz w:val="20"/>
          <w:szCs w:val="20"/>
        </w:rPr>
        <w:t xml:space="preserve">David Suzuki Foundation. (2008). </w:t>
      </w:r>
      <w:r w:rsidRPr="008352F7">
        <w:rPr>
          <w:rFonts w:ascii="Times" w:hAnsi="Times"/>
          <w:i/>
          <w:iCs/>
          <w:noProof/>
          <w:sz w:val="20"/>
          <w:szCs w:val="20"/>
        </w:rPr>
        <w:t>Ontario's wealth, Canada's future: appreciating the value of the greenbelt's eco-services.</w:t>
      </w:r>
      <w:r w:rsidRPr="008352F7">
        <w:rPr>
          <w:rFonts w:ascii="Times" w:hAnsi="Times"/>
          <w:noProof/>
          <w:sz w:val="20"/>
          <w:szCs w:val="20"/>
        </w:rPr>
        <w:t xml:space="preserve"> Vancouver: David Suzuki Foundation.</w:t>
      </w:r>
    </w:p>
  </w:endnote>
  <w:endnote w:id="7">
    <w:p w:rsidR="004A27A0" w:rsidRPr="008352F7" w:rsidRDefault="000E129D" w:rsidP="002844EE">
      <w:pPr>
        <w:pStyle w:val="EndnoteText"/>
        <w:rPr>
          <w:rFonts w:ascii="Times" w:hAnsi="Times"/>
          <w:sz w:val="20"/>
          <w:szCs w:val="20"/>
        </w:rPr>
      </w:pPr>
      <w:r w:rsidRPr="008352F7">
        <w:rPr>
          <w:rStyle w:val="EndnoteReference"/>
          <w:rFonts w:ascii="Times" w:hAnsi="Times"/>
          <w:sz w:val="20"/>
          <w:szCs w:val="20"/>
        </w:rPr>
        <w:endnoteRef/>
      </w:r>
      <w:r w:rsidRPr="008352F7">
        <w:rPr>
          <w:rFonts w:ascii="Times" w:hAnsi="Times"/>
          <w:sz w:val="20"/>
          <w:szCs w:val="20"/>
        </w:rPr>
        <w:t xml:space="preserve"> </w:t>
      </w:r>
      <w:r w:rsidRPr="00812B0E">
        <w:rPr>
          <w:rFonts w:ascii="Times" w:hAnsi="Times"/>
          <w:i/>
          <w:sz w:val="20"/>
          <w:szCs w:val="20"/>
        </w:rPr>
        <w:t>Ibid</w:t>
      </w:r>
      <w:r w:rsidRPr="008352F7">
        <w:rPr>
          <w:rFonts w:ascii="Times" w:hAnsi="Times"/>
          <w:sz w:val="20"/>
          <w:szCs w:val="20"/>
        </w:rPr>
        <w:t>.</w:t>
      </w:r>
    </w:p>
  </w:endnote>
  <w:endnote w:id="8">
    <w:p w:rsidR="004A27A0" w:rsidRPr="008352F7" w:rsidRDefault="000E129D" w:rsidP="002844EE">
      <w:pPr>
        <w:pStyle w:val="EndnoteText"/>
        <w:rPr>
          <w:rFonts w:ascii="Times" w:hAnsi="Times"/>
          <w:sz w:val="20"/>
          <w:szCs w:val="20"/>
        </w:rPr>
      </w:pPr>
      <w:r w:rsidRPr="008352F7">
        <w:rPr>
          <w:rStyle w:val="EndnoteReference"/>
          <w:rFonts w:ascii="Times" w:hAnsi="Times"/>
          <w:sz w:val="20"/>
          <w:szCs w:val="20"/>
        </w:rPr>
        <w:endnoteRef/>
      </w:r>
      <w:r w:rsidRPr="008352F7">
        <w:rPr>
          <w:rFonts w:ascii="Times" w:hAnsi="Times"/>
          <w:sz w:val="20"/>
          <w:szCs w:val="20"/>
        </w:rPr>
        <w:t xml:space="preserve"> </w:t>
      </w:r>
      <w:r w:rsidRPr="00812B0E">
        <w:rPr>
          <w:rFonts w:ascii="Times" w:hAnsi="Times"/>
          <w:i/>
          <w:sz w:val="20"/>
          <w:szCs w:val="20"/>
        </w:rPr>
        <w:t>Ibid</w:t>
      </w:r>
      <w:r w:rsidRPr="008352F7">
        <w:rPr>
          <w:rFonts w:ascii="Times" w:hAnsi="Times"/>
          <w:sz w:val="20"/>
          <w:szCs w:val="20"/>
        </w:rPr>
        <w:t>.</w:t>
      </w:r>
    </w:p>
  </w:endnote>
  <w:endnote w:id="9">
    <w:p w:rsidR="004A27A0" w:rsidRPr="008352F7" w:rsidRDefault="000E129D" w:rsidP="002844EE">
      <w:pPr>
        <w:pStyle w:val="EndnoteText"/>
        <w:rPr>
          <w:rFonts w:ascii="Times" w:hAnsi="Times"/>
          <w:sz w:val="20"/>
          <w:szCs w:val="20"/>
        </w:rPr>
      </w:pPr>
      <w:r w:rsidRPr="008352F7">
        <w:rPr>
          <w:rStyle w:val="EndnoteReference"/>
          <w:rFonts w:ascii="Times" w:hAnsi="Times"/>
          <w:sz w:val="20"/>
          <w:szCs w:val="20"/>
        </w:rPr>
        <w:endnoteRef/>
      </w:r>
      <w:r w:rsidRPr="008352F7">
        <w:rPr>
          <w:rFonts w:ascii="Times" w:hAnsi="Times"/>
          <w:sz w:val="20"/>
          <w:szCs w:val="20"/>
        </w:rPr>
        <w:t xml:space="preserve"> </w:t>
      </w:r>
      <w:r w:rsidRPr="00812B0E">
        <w:rPr>
          <w:rFonts w:ascii="Times" w:hAnsi="Times"/>
          <w:i/>
          <w:sz w:val="20"/>
          <w:szCs w:val="20"/>
        </w:rPr>
        <w:t>Ibid</w:t>
      </w:r>
      <w:r w:rsidRPr="008352F7">
        <w:rPr>
          <w:rFonts w:ascii="Times" w:hAnsi="Times"/>
          <w:sz w:val="20"/>
          <w:szCs w:val="20"/>
        </w:rPr>
        <w:t>.</w:t>
      </w:r>
    </w:p>
  </w:endnote>
  <w:endnote w:id="10">
    <w:p w:rsidR="004A27A0" w:rsidRPr="008352F7" w:rsidRDefault="000E129D" w:rsidP="002844EE">
      <w:pPr>
        <w:pStyle w:val="EndnoteText"/>
        <w:rPr>
          <w:rFonts w:ascii="Times" w:hAnsi="Times"/>
          <w:sz w:val="20"/>
          <w:szCs w:val="20"/>
        </w:rPr>
      </w:pPr>
      <w:r w:rsidRPr="008352F7">
        <w:rPr>
          <w:rStyle w:val="EndnoteReference"/>
          <w:rFonts w:ascii="Times" w:hAnsi="Times"/>
          <w:sz w:val="20"/>
          <w:szCs w:val="20"/>
        </w:rPr>
        <w:endnoteRef/>
      </w:r>
      <w:r w:rsidRPr="008352F7">
        <w:rPr>
          <w:rFonts w:ascii="Times" w:hAnsi="Times"/>
          <w:sz w:val="20"/>
          <w:szCs w:val="20"/>
        </w:rPr>
        <w:t xml:space="preserve"> </w:t>
      </w:r>
      <w:r w:rsidRPr="00812B0E">
        <w:rPr>
          <w:rFonts w:ascii="Times" w:hAnsi="Times"/>
          <w:i/>
          <w:sz w:val="20"/>
          <w:szCs w:val="20"/>
        </w:rPr>
        <w:t>Ibid</w:t>
      </w:r>
      <w:r w:rsidRPr="008352F7">
        <w:rPr>
          <w:rFonts w:ascii="Times" w:hAnsi="Times"/>
          <w:sz w:val="20"/>
          <w:szCs w:val="20"/>
        </w:rPr>
        <w:t>.</w:t>
      </w:r>
    </w:p>
  </w:endnote>
  <w:endnote w:id="11">
    <w:p w:rsidR="004A27A0" w:rsidRPr="008352F7" w:rsidRDefault="000E129D" w:rsidP="002844EE">
      <w:pPr>
        <w:pStyle w:val="Bibliography"/>
        <w:rPr>
          <w:rFonts w:ascii="Times" w:hAnsi="Times"/>
          <w:noProof/>
          <w:sz w:val="20"/>
          <w:szCs w:val="20"/>
        </w:rPr>
      </w:pPr>
      <w:r w:rsidRPr="008352F7">
        <w:rPr>
          <w:rStyle w:val="EndnoteReference"/>
          <w:rFonts w:ascii="Times" w:hAnsi="Times"/>
          <w:sz w:val="20"/>
          <w:szCs w:val="20"/>
        </w:rPr>
        <w:endnoteRef/>
      </w:r>
      <w:r w:rsidRPr="008352F7">
        <w:rPr>
          <w:rFonts w:ascii="Times" w:hAnsi="Times"/>
          <w:sz w:val="20"/>
          <w:szCs w:val="20"/>
        </w:rPr>
        <w:t xml:space="preserve"> </w:t>
      </w:r>
      <w:r w:rsidRPr="008352F7">
        <w:rPr>
          <w:rFonts w:ascii="Times" w:hAnsi="Times"/>
          <w:noProof/>
          <w:sz w:val="20"/>
          <w:szCs w:val="20"/>
        </w:rPr>
        <w:t xml:space="preserve">Jackson, L. E., Pascual, U., &amp; Hodgkin, T. (2007). Utilizing and conserving agrobiodiversity in agricultural landscapes. </w:t>
      </w:r>
      <w:r w:rsidRPr="008352F7">
        <w:rPr>
          <w:rFonts w:ascii="Times" w:hAnsi="Times"/>
          <w:i/>
          <w:iCs/>
          <w:noProof/>
          <w:sz w:val="20"/>
          <w:szCs w:val="20"/>
        </w:rPr>
        <w:t>Agriculture, Ecosystems &amp; Environment</w:t>
      </w:r>
      <w:r w:rsidRPr="008352F7">
        <w:rPr>
          <w:rFonts w:ascii="Times" w:hAnsi="Times"/>
          <w:noProof/>
          <w:sz w:val="20"/>
          <w:szCs w:val="20"/>
        </w:rPr>
        <w:t xml:space="preserve"> </w:t>
      </w:r>
      <w:r w:rsidRPr="008352F7">
        <w:rPr>
          <w:rFonts w:ascii="Times" w:hAnsi="Times"/>
          <w:i/>
          <w:iCs/>
          <w:noProof/>
          <w:sz w:val="20"/>
          <w:szCs w:val="20"/>
        </w:rPr>
        <w:t>, 121</w:t>
      </w:r>
      <w:r w:rsidRPr="008352F7">
        <w:rPr>
          <w:rFonts w:ascii="Times" w:hAnsi="Times"/>
          <w:noProof/>
          <w:sz w:val="20"/>
          <w:szCs w:val="20"/>
        </w:rPr>
        <w:t>, 196-210.</w:t>
      </w:r>
    </w:p>
  </w:endnote>
  <w:endnote w:id="12">
    <w:p w:rsidR="004A27A0" w:rsidRPr="008352F7" w:rsidRDefault="000E129D" w:rsidP="002844EE">
      <w:pPr>
        <w:pStyle w:val="EndnoteText"/>
        <w:rPr>
          <w:rFonts w:ascii="Times" w:hAnsi="Times"/>
          <w:sz w:val="20"/>
          <w:szCs w:val="20"/>
        </w:rPr>
      </w:pPr>
      <w:r w:rsidRPr="008352F7">
        <w:rPr>
          <w:rStyle w:val="EndnoteReference"/>
          <w:rFonts w:ascii="Times" w:hAnsi="Times"/>
          <w:sz w:val="20"/>
          <w:szCs w:val="20"/>
        </w:rPr>
        <w:endnoteRef/>
      </w:r>
      <w:r w:rsidRPr="008352F7">
        <w:rPr>
          <w:rFonts w:ascii="Times" w:hAnsi="Times"/>
          <w:sz w:val="20"/>
          <w:szCs w:val="20"/>
        </w:rPr>
        <w:t xml:space="preserve"> </w:t>
      </w:r>
      <w:r w:rsidRPr="00812B0E">
        <w:rPr>
          <w:rFonts w:ascii="Times" w:hAnsi="Times"/>
          <w:i/>
          <w:sz w:val="20"/>
          <w:szCs w:val="20"/>
        </w:rPr>
        <w:t>Ibid</w:t>
      </w:r>
      <w:r w:rsidRPr="008352F7">
        <w:rPr>
          <w:rFonts w:ascii="Times" w:hAnsi="Times"/>
          <w:sz w:val="20"/>
          <w:szCs w:val="20"/>
        </w:rPr>
        <w:t>.</w:t>
      </w:r>
    </w:p>
  </w:endnote>
  <w:endnote w:id="13">
    <w:p w:rsidR="004A27A0" w:rsidRPr="008352F7" w:rsidRDefault="000E129D" w:rsidP="002844EE">
      <w:pPr>
        <w:pStyle w:val="EndnoteText"/>
        <w:rPr>
          <w:rFonts w:ascii="Times" w:hAnsi="Times"/>
          <w:sz w:val="20"/>
          <w:szCs w:val="20"/>
        </w:rPr>
      </w:pPr>
      <w:r w:rsidRPr="008352F7">
        <w:rPr>
          <w:rStyle w:val="EndnoteReference"/>
          <w:rFonts w:ascii="Times" w:hAnsi="Times"/>
          <w:sz w:val="20"/>
          <w:szCs w:val="20"/>
        </w:rPr>
        <w:endnoteRef/>
      </w:r>
      <w:r w:rsidRPr="008352F7">
        <w:rPr>
          <w:rFonts w:ascii="Times" w:hAnsi="Times"/>
          <w:sz w:val="20"/>
          <w:szCs w:val="20"/>
        </w:rPr>
        <w:t xml:space="preserve"> </w:t>
      </w:r>
      <w:r w:rsidRPr="00812B0E">
        <w:rPr>
          <w:rFonts w:ascii="Times" w:hAnsi="Times"/>
          <w:i/>
          <w:sz w:val="20"/>
          <w:szCs w:val="20"/>
        </w:rPr>
        <w:t>Ibid</w:t>
      </w:r>
      <w:r w:rsidRPr="008352F7">
        <w:rPr>
          <w:rFonts w:ascii="Times" w:hAnsi="Times"/>
          <w:sz w:val="20"/>
          <w:szCs w:val="20"/>
        </w:rPr>
        <w:t>.</w:t>
      </w:r>
    </w:p>
  </w:endnote>
  <w:endnote w:id="14">
    <w:p w:rsidR="004A27A0" w:rsidRPr="008352F7" w:rsidRDefault="000E129D" w:rsidP="002844EE">
      <w:pPr>
        <w:pStyle w:val="EndnoteText"/>
        <w:rPr>
          <w:rFonts w:ascii="Times" w:hAnsi="Times"/>
          <w:sz w:val="20"/>
          <w:szCs w:val="20"/>
        </w:rPr>
      </w:pPr>
      <w:r w:rsidRPr="008352F7">
        <w:rPr>
          <w:rStyle w:val="EndnoteReference"/>
          <w:rFonts w:ascii="Times" w:hAnsi="Times"/>
          <w:sz w:val="20"/>
          <w:szCs w:val="20"/>
        </w:rPr>
        <w:endnoteRef/>
      </w:r>
      <w:r w:rsidRPr="008352F7">
        <w:rPr>
          <w:rFonts w:ascii="Times" w:hAnsi="Times"/>
          <w:sz w:val="20"/>
          <w:szCs w:val="20"/>
        </w:rPr>
        <w:t xml:space="preserve"> Millennium Ecosystem Assessment, 2005</w:t>
      </w:r>
    </w:p>
  </w:endnote>
  <w:endnote w:id="15">
    <w:p w:rsidR="004A27A0" w:rsidRPr="008352F7" w:rsidRDefault="000E129D" w:rsidP="002844EE">
      <w:pPr>
        <w:pStyle w:val="EndnoteText"/>
        <w:rPr>
          <w:rFonts w:ascii="Times" w:hAnsi="Times"/>
          <w:sz w:val="20"/>
          <w:szCs w:val="20"/>
        </w:rPr>
      </w:pPr>
      <w:r w:rsidRPr="008352F7">
        <w:rPr>
          <w:rStyle w:val="EndnoteReference"/>
          <w:rFonts w:ascii="Times" w:hAnsi="Times"/>
          <w:sz w:val="20"/>
          <w:szCs w:val="20"/>
        </w:rPr>
        <w:endnoteRef/>
      </w:r>
      <w:r w:rsidRPr="008352F7">
        <w:rPr>
          <w:rFonts w:ascii="Times" w:hAnsi="Times"/>
          <w:sz w:val="20"/>
          <w:szCs w:val="20"/>
        </w:rPr>
        <w:t xml:space="preserve"> </w:t>
      </w:r>
      <w:r w:rsidRPr="00812B0E">
        <w:rPr>
          <w:rFonts w:ascii="Times" w:hAnsi="Times"/>
          <w:i/>
          <w:sz w:val="20"/>
          <w:szCs w:val="20"/>
        </w:rPr>
        <w:t>Ibid</w:t>
      </w:r>
      <w:r w:rsidRPr="008352F7">
        <w:rPr>
          <w:rFonts w:ascii="Times" w:hAnsi="Times"/>
          <w:sz w:val="20"/>
          <w:szCs w:val="20"/>
        </w:rPr>
        <w:t>.</w:t>
      </w:r>
    </w:p>
  </w:endnote>
  <w:endnote w:id="16">
    <w:p w:rsidR="004A27A0" w:rsidRPr="008352F7" w:rsidRDefault="000E129D" w:rsidP="002844EE">
      <w:pPr>
        <w:pStyle w:val="EndnoteText"/>
        <w:rPr>
          <w:rFonts w:ascii="Times" w:hAnsi="Times"/>
          <w:sz w:val="20"/>
          <w:szCs w:val="20"/>
        </w:rPr>
      </w:pPr>
      <w:r w:rsidRPr="008352F7">
        <w:rPr>
          <w:rStyle w:val="EndnoteReference"/>
          <w:rFonts w:ascii="Times" w:hAnsi="Times"/>
          <w:sz w:val="20"/>
          <w:szCs w:val="20"/>
        </w:rPr>
        <w:endnoteRef/>
      </w:r>
      <w:r w:rsidRPr="008352F7">
        <w:rPr>
          <w:rFonts w:ascii="Times" w:hAnsi="Times"/>
          <w:sz w:val="20"/>
          <w:szCs w:val="20"/>
        </w:rPr>
        <w:t xml:space="preserve"> </w:t>
      </w:r>
      <w:r w:rsidRPr="00812B0E">
        <w:rPr>
          <w:rFonts w:ascii="Times" w:hAnsi="Times"/>
          <w:i/>
          <w:sz w:val="20"/>
          <w:szCs w:val="20"/>
        </w:rPr>
        <w:t>Ibid</w:t>
      </w:r>
      <w:r w:rsidRPr="008352F7">
        <w:rPr>
          <w:rFonts w:ascii="Times" w:hAnsi="Times"/>
          <w:sz w:val="20"/>
          <w:szCs w:val="20"/>
        </w:rPr>
        <w:t>.</w:t>
      </w:r>
    </w:p>
  </w:endnote>
  <w:endnote w:id="17">
    <w:p w:rsidR="004A27A0" w:rsidRPr="008352F7" w:rsidRDefault="000E129D" w:rsidP="002844EE">
      <w:pPr>
        <w:pStyle w:val="EndnoteText"/>
        <w:rPr>
          <w:rFonts w:ascii="Times" w:hAnsi="Times"/>
          <w:sz w:val="20"/>
          <w:szCs w:val="20"/>
        </w:rPr>
      </w:pPr>
      <w:r w:rsidRPr="008352F7">
        <w:rPr>
          <w:rStyle w:val="EndnoteReference"/>
          <w:rFonts w:ascii="Times" w:hAnsi="Times"/>
          <w:sz w:val="20"/>
          <w:szCs w:val="20"/>
        </w:rPr>
        <w:endnoteRef/>
      </w:r>
      <w:r w:rsidRPr="008352F7">
        <w:rPr>
          <w:rFonts w:ascii="Times" w:hAnsi="Times"/>
          <w:sz w:val="20"/>
          <w:szCs w:val="20"/>
        </w:rPr>
        <w:t xml:space="preserve"> David Suzuki Foundation, 2008</w:t>
      </w:r>
      <w:r>
        <w:rPr>
          <w:rFonts w:ascii="Times" w:hAnsi="Times"/>
          <w:sz w:val="20"/>
          <w:szCs w:val="20"/>
        </w:rPr>
        <w:t xml:space="preserve"> </w:t>
      </w:r>
      <w:r w:rsidRPr="00EC5BF2">
        <w:rPr>
          <w:rFonts w:ascii="Times" w:hAnsi="Times"/>
          <w:sz w:val="20"/>
          <w:szCs w:val="20"/>
        </w:rPr>
        <w:t xml:space="preserve">and </w:t>
      </w:r>
      <w:r w:rsidRPr="002A51EB">
        <w:rPr>
          <w:rFonts w:ascii="Times" w:hAnsi="Times" w:cs="Calibri"/>
          <w:sz w:val="20"/>
          <w:szCs w:val="22"/>
        </w:rPr>
        <w:t>Ducks Unlimited Canada. (2010)</w:t>
      </w:r>
      <w:proofErr w:type="gramStart"/>
      <w:r w:rsidRPr="002A51EB">
        <w:rPr>
          <w:rFonts w:ascii="Times" w:hAnsi="Times" w:cs="Calibri"/>
          <w:sz w:val="20"/>
          <w:szCs w:val="22"/>
        </w:rPr>
        <w:t xml:space="preserve">. </w:t>
      </w:r>
      <w:r w:rsidRPr="002A51EB">
        <w:rPr>
          <w:rFonts w:ascii="Times" w:hAnsi="Times" w:cs="Calibri"/>
          <w:i/>
          <w:sz w:val="20"/>
          <w:szCs w:val="22"/>
        </w:rPr>
        <w:t>Southern Ontario wetland conversion analysis</w:t>
      </w:r>
      <w:r w:rsidRPr="002A51EB">
        <w:rPr>
          <w:rFonts w:ascii="Times" w:hAnsi="Times" w:cs="Calibri"/>
          <w:sz w:val="20"/>
          <w:szCs w:val="22"/>
        </w:rPr>
        <w:t>.</w:t>
      </w:r>
      <w:proofErr w:type="gramEnd"/>
      <w:r w:rsidRPr="002A51EB">
        <w:rPr>
          <w:rFonts w:ascii="Times" w:hAnsi="Times" w:cs="Calibri"/>
          <w:sz w:val="20"/>
          <w:szCs w:val="22"/>
        </w:rPr>
        <w:t xml:space="preserve"> Ontario: Ducks Unlimited Canada</w:t>
      </w:r>
    </w:p>
  </w:endnote>
  <w:endnote w:id="18">
    <w:p w:rsidR="004A27A0" w:rsidRDefault="000E129D">
      <w:pPr>
        <w:pStyle w:val="EndnoteText"/>
      </w:pPr>
      <w:r>
        <w:rPr>
          <w:rStyle w:val="EndnoteReference"/>
        </w:rPr>
        <w:endnoteRef/>
      </w:r>
      <w:r>
        <w:t xml:space="preserve"> </w:t>
      </w:r>
      <w:r w:rsidRPr="008352F7">
        <w:rPr>
          <w:rFonts w:ascii="Times" w:hAnsi="Times"/>
          <w:noProof/>
          <w:sz w:val="20"/>
          <w:szCs w:val="20"/>
        </w:rPr>
        <w:t xml:space="preserve">Jackson, L. E., Pascual, U., &amp; Hodgkin, T. (2007).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PMingLiU">
    <w:altName w:val="新細明體"/>
    <w:charset w:val="88"/>
    <w:family w:val="roman"/>
    <w:pitch w:val="variable"/>
    <w:sig w:usb0="A00002FF" w:usb1="28CFFCFA" w:usb2="00000016" w:usb3="00000000" w:csb0="00100001"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HelveticaNeueLT Std">
    <w:altName w:val="Arial"/>
    <w:panose1 w:val="00000000000000000000"/>
    <w:charset w:val="00"/>
    <w:family w:val="swiss"/>
    <w:notTrueType/>
    <w:pitch w:val="variable"/>
    <w:sig w:usb0="800000AF" w:usb1="4000204A"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7A0" w:rsidRDefault="00B9581A" w:rsidP="002844E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7A0" w:rsidRDefault="00B9581A" w:rsidP="002844E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29D" w:rsidRDefault="000E129D" w:rsidP="002844EE">
      <w:r>
        <w:separator/>
      </w:r>
    </w:p>
  </w:footnote>
  <w:footnote w:type="continuationSeparator" w:id="0">
    <w:p w:rsidR="000E129D" w:rsidRDefault="000E129D" w:rsidP="002844E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64FF2"/>
    <w:multiLevelType w:val="hybridMultilevel"/>
    <w:tmpl w:val="94FE68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5ED51AB"/>
    <w:multiLevelType w:val="hybridMultilevel"/>
    <w:tmpl w:val="A710BF96"/>
    <w:lvl w:ilvl="0" w:tplc="BC2469B2">
      <w:start w:val="1"/>
      <w:numFmt w:val="bullet"/>
      <w:lvlText w:val=""/>
      <w:lvlJc w:val="left"/>
      <w:pPr>
        <w:ind w:left="720" w:hanging="72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383198"/>
    <w:multiLevelType w:val="hybridMultilevel"/>
    <w:tmpl w:val="8A9E4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1F09A2"/>
    <w:multiLevelType w:val="hybridMultilevel"/>
    <w:tmpl w:val="9D8EC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AF23DA"/>
    <w:multiLevelType w:val="hybridMultilevel"/>
    <w:tmpl w:val="5C708B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3A3449C"/>
    <w:multiLevelType w:val="hybridMultilevel"/>
    <w:tmpl w:val="C12C6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320E1F"/>
    <w:multiLevelType w:val="hybridMultilevel"/>
    <w:tmpl w:val="E9AE7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B35BBD"/>
    <w:multiLevelType w:val="hybridMultilevel"/>
    <w:tmpl w:val="7AEC2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674D24"/>
    <w:multiLevelType w:val="multilevel"/>
    <w:tmpl w:val="4D52A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0343AE2"/>
    <w:multiLevelType w:val="hybridMultilevel"/>
    <w:tmpl w:val="F52C55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CE4DC3"/>
    <w:multiLevelType w:val="hybridMultilevel"/>
    <w:tmpl w:val="116EF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495CC2"/>
    <w:multiLevelType w:val="hybridMultilevel"/>
    <w:tmpl w:val="9BF6D9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6CE55FDA"/>
    <w:multiLevelType w:val="hybridMultilevel"/>
    <w:tmpl w:val="18389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0F661FE"/>
    <w:multiLevelType w:val="hybridMultilevel"/>
    <w:tmpl w:val="350C7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FAE06F7"/>
    <w:multiLevelType w:val="hybridMultilevel"/>
    <w:tmpl w:val="B3008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9"/>
  </w:num>
  <w:num w:numId="4">
    <w:abstractNumId w:val="11"/>
  </w:num>
  <w:num w:numId="5">
    <w:abstractNumId w:val="2"/>
  </w:num>
  <w:num w:numId="6">
    <w:abstractNumId w:val="4"/>
  </w:num>
  <w:num w:numId="7">
    <w:abstractNumId w:val="13"/>
  </w:num>
  <w:num w:numId="8">
    <w:abstractNumId w:val="0"/>
  </w:num>
  <w:num w:numId="9">
    <w:abstractNumId w:val="7"/>
  </w:num>
  <w:num w:numId="10">
    <w:abstractNumId w:val="14"/>
  </w:num>
  <w:num w:numId="11">
    <w:abstractNumId w:val="10"/>
  </w:num>
  <w:num w:numId="12">
    <w:abstractNumId w:val="3"/>
  </w:num>
  <w:num w:numId="13">
    <w:abstractNumId w:val="12"/>
  </w:num>
  <w:num w:numId="14">
    <w:abstractNumId w:val="6"/>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proofState w:spelling="clean" w:grammar="clean"/>
  <w:trackRevision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571"/>
    <w:rsid w:val="000E129D"/>
    <w:rsid w:val="00B9581A"/>
    <w:rsid w:val="00DB157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220"/>
    <w:rPr>
      <w:sz w:val="24"/>
      <w:szCs w:val="24"/>
      <w:lang w:eastAsia="en-US"/>
    </w:rPr>
  </w:style>
  <w:style w:type="paragraph" w:styleId="Heading1">
    <w:name w:val="heading 1"/>
    <w:basedOn w:val="Normal"/>
    <w:next w:val="Normal"/>
    <w:link w:val="Heading1Char"/>
    <w:uiPriority w:val="9"/>
    <w:qFormat/>
    <w:rsid w:val="00DB157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DB157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965950"/>
    <w:rPr>
      <w:rFonts w:ascii="Lucida Grande" w:hAnsi="Lucida Grande" w:cs="Lucida Grande"/>
      <w:sz w:val="18"/>
      <w:szCs w:val="18"/>
    </w:rPr>
  </w:style>
  <w:style w:type="character" w:customStyle="1" w:styleId="BalloonTextChar">
    <w:name w:val="Balloon Text Char"/>
    <w:basedOn w:val="DefaultParagraphFont"/>
    <w:uiPriority w:val="99"/>
    <w:semiHidden/>
    <w:rsid w:val="0068243D"/>
    <w:rPr>
      <w:rFonts w:ascii="Lucida Grande" w:hAnsi="Lucida Grande" w:cs="Lucida Grande"/>
      <w:sz w:val="18"/>
      <w:szCs w:val="18"/>
    </w:rPr>
  </w:style>
  <w:style w:type="character" w:customStyle="1" w:styleId="BalloonTextChar0">
    <w:name w:val="Balloon Text Char"/>
    <w:basedOn w:val="DefaultParagraphFont"/>
    <w:uiPriority w:val="99"/>
    <w:semiHidden/>
    <w:rsid w:val="00526164"/>
    <w:rPr>
      <w:rFonts w:ascii="Lucida Grande" w:hAnsi="Lucida Grande"/>
      <w:sz w:val="18"/>
      <w:szCs w:val="18"/>
    </w:rPr>
  </w:style>
  <w:style w:type="character" w:customStyle="1" w:styleId="BalloonTextChar2">
    <w:name w:val="Balloon Text Char"/>
    <w:basedOn w:val="DefaultParagraphFont"/>
    <w:uiPriority w:val="99"/>
    <w:semiHidden/>
    <w:rsid w:val="00526164"/>
    <w:rPr>
      <w:rFonts w:ascii="Lucida Grande" w:hAnsi="Lucida Grande"/>
      <w:sz w:val="18"/>
      <w:szCs w:val="18"/>
    </w:rPr>
  </w:style>
  <w:style w:type="character" w:customStyle="1" w:styleId="BalloonTextChar3">
    <w:name w:val="Balloon Text Char"/>
    <w:basedOn w:val="DefaultParagraphFont"/>
    <w:uiPriority w:val="99"/>
    <w:semiHidden/>
    <w:rsid w:val="00D66A19"/>
    <w:rPr>
      <w:rFonts w:ascii="Lucida Grande" w:hAnsi="Lucida Grande"/>
      <w:sz w:val="18"/>
      <w:szCs w:val="18"/>
    </w:rPr>
  </w:style>
  <w:style w:type="character" w:customStyle="1" w:styleId="BalloonTextChar4">
    <w:name w:val="Balloon Text Char"/>
    <w:basedOn w:val="DefaultParagraphFont"/>
    <w:uiPriority w:val="99"/>
    <w:semiHidden/>
    <w:rsid w:val="00D66A19"/>
    <w:rPr>
      <w:rFonts w:ascii="Lucida Grande" w:hAnsi="Lucida Grande"/>
      <w:sz w:val="18"/>
      <w:szCs w:val="18"/>
    </w:rPr>
  </w:style>
  <w:style w:type="character" w:customStyle="1" w:styleId="Heading1Char">
    <w:name w:val="Heading 1 Char"/>
    <w:basedOn w:val="DefaultParagraphFont"/>
    <w:link w:val="Heading1"/>
    <w:uiPriority w:val="9"/>
    <w:rsid w:val="00DB1571"/>
    <w:rPr>
      <w:rFonts w:asciiTheme="majorHAnsi" w:eastAsiaTheme="majorEastAsia" w:hAnsiTheme="majorHAnsi" w:cstheme="majorBidi"/>
      <w:b/>
      <w:bCs/>
      <w:color w:val="345A8A" w:themeColor="accent1" w:themeShade="B5"/>
      <w:sz w:val="32"/>
      <w:szCs w:val="32"/>
      <w:lang w:eastAsia="en-US"/>
    </w:rPr>
  </w:style>
  <w:style w:type="character" w:customStyle="1" w:styleId="Heading2Char">
    <w:name w:val="Heading 2 Char"/>
    <w:basedOn w:val="DefaultParagraphFont"/>
    <w:link w:val="Heading2"/>
    <w:uiPriority w:val="9"/>
    <w:rsid w:val="00DB1571"/>
    <w:rPr>
      <w:rFonts w:asciiTheme="majorHAnsi" w:eastAsiaTheme="majorEastAsia" w:hAnsiTheme="majorHAnsi" w:cstheme="majorBidi"/>
      <w:b/>
      <w:bCs/>
      <w:color w:val="4F81BD" w:themeColor="accent1"/>
      <w:sz w:val="26"/>
      <w:szCs w:val="26"/>
      <w:lang w:eastAsia="en-US"/>
    </w:rPr>
  </w:style>
  <w:style w:type="paragraph" w:styleId="ListParagraph">
    <w:name w:val="List Paragraph"/>
    <w:basedOn w:val="Normal"/>
    <w:uiPriority w:val="34"/>
    <w:qFormat/>
    <w:rsid w:val="001C2ACB"/>
    <w:pPr>
      <w:ind w:left="720"/>
      <w:contextualSpacing/>
    </w:pPr>
  </w:style>
  <w:style w:type="paragraph" w:styleId="Header">
    <w:name w:val="header"/>
    <w:basedOn w:val="Normal"/>
    <w:link w:val="HeaderChar"/>
    <w:uiPriority w:val="99"/>
    <w:unhideWhenUsed/>
    <w:rsid w:val="006D0321"/>
    <w:pPr>
      <w:tabs>
        <w:tab w:val="center" w:pos="4320"/>
        <w:tab w:val="right" w:pos="8640"/>
      </w:tabs>
    </w:pPr>
  </w:style>
  <w:style w:type="character" w:customStyle="1" w:styleId="HeaderChar">
    <w:name w:val="Header Char"/>
    <w:basedOn w:val="DefaultParagraphFont"/>
    <w:link w:val="Header"/>
    <w:uiPriority w:val="99"/>
    <w:rsid w:val="006D0321"/>
    <w:rPr>
      <w:sz w:val="24"/>
      <w:szCs w:val="24"/>
      <w:lang w:eastAsia="en-US"/>
    </w:rPr>
  </w:style>
  <w:style w:type="paragraph" w:styleId="Footer">
    <w:name w:val="footer"/>
    <w:basedOn w:val="Normal"/>
    <w:link w:val="FooterChar"/>
    <w:uiPriority w:val="99"/>
    <w:unhideWhenUsed/>
    <w:rsid w:val="006D0321"/>
    <w:pPr>
      <w:tabs>
        <w:tab w:val="center" w:pos="4320"/>
        <w:tab w:val="right" w:pos="8640"/>
      </w:tabs>
    </w:pPr>
  </w:style>
  <w:style w:type="character" w:customStyle="1" w:styleId="FooterChar">
    <w:name w:val="Footer Char"/>
    <w:basedOn w:val="DefaultParagraphFont"/>
    <w:link w:val="Footer"/>
    <w:uiPriority w:val="99"/>
    <w:rsid w:val="006D0321"/>
    <w:rPr>
      <w:sz w:val="24"/>
      <w:szCs w:val="24"/>
      <w:lang w:eastAsia="en-US"/>
    </w:rPr>
  </w:style>
  <w:style w:type="character" w:styleId="PageNumber">
    <w:name w:val="page number"/>
    <w:basedOn w:val="DefaultParagraphFont"/>
    <w:uiPriority w:val="99"/>
    <w:semiHidden/>
    <w:unhideWhenUsed/>
    <w:rsid w:val="006D0321"/>
  </w:style>
  <w:style w:type="paragraph" w:styleId="NoSpacing">
    <w:name w:val="No Spacing"/>
    <w:link w:val="NoSpacingChar"/>
    <w:qFormat/>
    <w:rsid w:val="006D0321"/>
    <w:rPr>
      <w:rFonts w:ascii="PMingLiU" w:hAnsi="PMingLiU" w:cstheme="minorBidi"/>
      <w:sz w:val="22"/>
      <w:szCs w:val="22"/>
      <w:lang w:eastAsia="en-US"/>
    </w:rPr>
  </w:style>
  <w:style w:type="character" w:customStyle="1" w:styleId="NoSpacingChar">
    <w:name w:val="No Spacing Char"/>
    <w:basedOn w:val="DefaultParagraphFont"/>
    <w:link w:val="NoSpacing"/>
    <w:rsid w:val="006D0321"/>
    <w:rPr>
      <w:rFonts w:ascii="PMingLiU" w:hAnsi="PMingLiU" w:cstheme="minorBidi"/>
      <w:sz w:val="22"/>
      <w:szCs w:val="22"/>
      <w:lang w:eastAsia="en-US"/>
    </w:rPr>
  </w:style>
  <w:style w:type="character" w:styleId="Hyperlink">
    <w:name w:val="Hyperlink"/>
    <w:basedOn w:val="DefaultParagraphFont"/>
    <w:uiPriority w:val="99"/>
    <w:unhideWhenUsed/>
    <w:rsid w:val="00752812"/>
    <w:rPr>
      <w:color w:val="0000FF"/>
      <w:u w:val="single"/>
    </w:rPr>
  </w:style>
  <w:style w:type="paragraph" w:styleId="FootnoteText">
    <w:name w:val="footnote text"/>
    <w:basedOn w:val="Normal"/>
    <w:link w:val="FootnoteTextChar"/>
    <w:uiPriority w:val="99"/>
    <w:unhideWhenUsed/>
    <w:rsid w:val="00965950"/>
  </w:style>
  <w:style w:type="character" w:customStyle="1" w:styleId="FootnoteTextChar">
    <w:name w:val="Footnote Text Char"/>
    <w:basedOn w:val="DefaultParagraphFont"/>
    <w:link w:val="FootnoteText"/>
    <w:uiPriority w:val="99"/>
    <w:rsid w:val="00965950"/>
    <w:rPr>
      <w:sz w:val="24"/>
      <w:szCs w:val="24"/>
      <w:lang w:eastAsia="en-US"/>
    </w:rPr>
  </w:style>
  <w:style w:type="character" w:styleId="FootnoteReference">
    <w:name w:val="footnote reference"/>
    <w:basedOn w:val="DefaultParagraphFont"/>
    <w:uiPriority w:val="99"/>
    <w:unhideWhenUsed/>
    <w:rsid w:val="00965950"/>
    <w:rPr>
      <w:vertAlign w:val="superscript"/>
    </w:rPr>
  </w:style>
  <w:style w:type="character" w:customStyle="1" w:styleId="BalloonTextChar1">
    <w:name w:val="Balloon Text Char1"/>
    <w:basedOn w:val="DefaultParagraphFont"/>
    <w:link w:val="BalloonText"/>
    <w:uiPriority w:val="99"/>
    <w:semiHidden/>
    <w:rsid w:val="00965950"/>
    <w:rPr>
      <w:rFonts w:ascii="Lucida Grande" w:hAnsi="Lucida Grande" w:cs="Lucida Grande"/>
      <w:sz w:val="18"/>
      <w:szCs w:val="18"/>
      <w:lang w:eastAsia="en-US"/>
    </w:rPr>
  </w:style>
  <w:style w:type="character" w:styleId="Strong">
    <w:name w:val="Strong"/>
    <w:basedOn w:val="DefaultParagraphFont"/>
    <w:uiPriority w:val="22"/>
    <w:qFormat/>
    <w:rsid w:val="008D3B28"/>
    <w:rPr>
      <w:b/>
      <w:bCs/>
    </w:rPr>
  </w:style>
  <w:style w:type="paragraph" w:styleId="Bibliography">
    <w:name w:val="Bibliography"/>
    <w:basedOn w:val="Normal"/>
    <w:next w:val="Normal"/>
    <w:uiPriority w:val="37"/>
    <w:unhideWhenUsed/>
    <w:rsid w:val="001F2ABE"/>
  </w:style>
  <w:style w:type="character" w:styleId="CommentReference">
    <w:name w:val="annotation reference"/>
    <w:basedOn w:val="DefaultParagraphFont"/>
    <w:uiPriority w:val="99"/>
    <w:semiHidden/>
    <w:unhideWhenUsed/>
    <w:rsid w:val="001E5C5F"/>
    <w:rPr>
      <w:sz w:val="18"/>
      <w:szCs w:val="18"/>
    </w:rPr>
  </w:style>
  <w:style w:type="paragraph" w:styleId="CommentText">
    <w:name w:val="annotation text"/>
    <w:basedOn w:val="Normal"/>
    <w:link w:val="CommentTextChar"/>
    <w:uiPriority w:val="99"/>
    <w:semiHidden/>
    <w:unhideWhenUsed/>
    <w:rsid w:val="001E5C5F"/>
  </w:style>
  <w:style w:type="character" w:customStyle="1" w:styleId="CommentTextChar">
    <w:name w:val="Comment Text Char"/>
    <w:basedOn w:val="DefaultParagraphFont"/>
    <w:link w:val="CommentText"/>
    <w:uiPriority w:val="99"/>
    <w:semiHidden/>
    <w:rsid w:val="001E5C5F"/>
    <w:rPr>
      <w:sz w:val="24"/>
      <w:szCs w:val="24"/>
      <w:lang w:eastAsia="en-US"/>
    </w:rPr>
  </w:style>
  <w:style w:type="paragraph" w:styleId="CommentSubject">
    <w:name w:val="annotation subject"/>
    <w:basedOn w:val="CommentText"/>
    <w:next w:val="CommentText"/>
    <w:link w:val="CommentSubjectChar"/>
    <w:uiPriority w:val="99"/>
    <w:semiHidden/>
    <w:unhideWhenUsed/>
    <w:rsid w:val="001E5C5F"/>
    <w:rPr>
      <w:b/>
      <w:bCs/>
      <w:sz w:val="20"/>
      <w:szCs w:val="20"/>
    </w:rPr>
  </w:style>
  <w:style w:type="character" w:customStyle="1" w:styleId="CommentSubjectChar">
    <w:name w:val="Comment Subject Char"/>
    <w:basedOn w:val="CommentTextChar"/>
    <w:link w:val="CommentSubject"/>
    <w:uiPriority w:val="99"/>
    <w:semiHidden/>
    <w:rsid w:val="001E5C5F"/>
    <w:rPr>
      <w:b/>
      <w:bCs/>
      <w:sz w:val="24"/>
      <w:szCs w:val="24"/>
      <w:lang w:eastAsia="en-US"/>
    </w:rPr>
  </w:style>
  <w:style w:type="paragraph" w:styleId="EndnoteText">
    <w:name w:val="endnote text"/>
    <w:basedOn w:val="Normal"/>
    <w:link w:val="EndnoteTextChar"/>
    <w:uiPriority w:val="99"/>
    <w:unhideWhenUsed/>
    <w:rsid w:val="00A903D3"/>
  </w:style>
  <w:style w:type="character" w:customStyle="1" w:styleId="EndnoteTextChar">
    <w:name w:val="Endnote Text Char"/>
    <w:basedOn w:val="DefaultParagraphFont"/>
    <w:link w:val="EndnoteText"/>
    <w:uiPriority w:val="99"/>
    <w:rsid w:val="00A903D3"/>
    <w:rPr>
      <w:sz w:val="24"/>
      <w:szCs w:val="24"/>
      <w:lang w:eastAsia="en-US"/>
    </w:rPr>
  </w:style>
  <w:style w:type="character" w:styleId="EndnoteReference">
    <w:name w:val="endnote reference"/>
    <w:basedOn w:val="DefaultParagraphFont"/>
    <w:uiPriority w:val="99"/>
    <w:unhideWhenUsed/>
    <w:rsid w:val="00A903D3"/>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220"/>
    <w:rPr>
      <w:sz w:val="24"/>
      <w:szCs w:val="24"/>
      <w:lang w:eastAsia="en-US"/>
    </w:rPr>
  </w:style>
  <w:style w:type="paragraph" w:styleId="Heading1">
    <w:name w:val="heading 1"/>
    <w:basedOn w:val="Normal"/>
    <w:next w:val="Normal"/>
    <w:link w:val="Heading1Char"/>
    <w:uiPriority w:val="9"/>
    <w:qFormat/>
    <w:rsid w:val="00DB157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DB157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965950"/>
    <w:rPr>
      <w:rFonts w:ascii="Lucida Grande" w:hAnsi="Lucida Grande" w:cs="Lucida Grande"/>
      <w:sz w:val="18"/>
      <w:szCs w:val="18"/>
    </w:rPr>
  </w:style>
  <w:style w:type="character" w:customStyle="1" w:styleId="BalloonTextChar">
    <w:name w:val="Balloon Text Char"/>
    <w:basedOn w:val="DefaultParagraphFont"/>
    <w:uiPriority w:val="99"/>
    <w:semiHidden/>
    <w:rsid w:val="0068243D"/>
    <w:rPr>
      <w:rFonts w:ascii="Lucida Grande" w:hAnsi="Lucida Grande" w:cs="Lucida Grande"/>
      <w:sz w:val="18"/>
      <w:szCs w:val="18"/>
    </w:rPr>
  </w:style>
  <w:style w:type="character" w:customStyle="1" w:styleId="BalloonTextChar0">
    <w:name w:val="Balloon Text Char"/>
    <w:basedOn w:val="DefaultParagraphFont"/>
    <w:uiPriority w:val="99"/>
    <w:semiHidden/>
    <w:rsid w:val="00526164"/>
    <w:rPr>
      <w:rFonts w:ascii="Lucida Grande" w:hAnsi="Lucida Grande"/>
      <w:sz w:val="18"/>
      <w:szCs w:val="18"/>
    </w:rPr>
  </w:style>
  <w:style w:type="character" w:customStyle="1" w:styleId="BalloonTextChar2">
    <w:name w:val="Balloon Text Char"/>
    <w:basedOn w:val="DefaultParagraphFont"/>
    <w:uiPriority w:val="99"/>
    <w:semiHidden/>
    <w:rsid w:val="00526164"/>
    <w:rPr>
      <w:rFonts w:ascii="Lucida Grande" w:hAnsi="Lucida Grande"/>
      <w:sz w:val="18"/>
      <w:szCs w:val="18"/>
    </w:rPr>
  </w:style>
  <w:style w:type="character" w:customStyle="1" w:styleId="BalloonTextChar3">
    <w:name w:val="Balloon Text Char"/>
    <w:basedOn w:val="DefaultParagraphFont"/>
    <w:uiPriority w:val="99"/>
    <w:semiHidden/>
    <w:rsid w:val="00D66A19"/>
    <w:rPr>
      <w:rFonts w:ascii="Lucida Grande" w:hAnsi="Lucida Grande"/>
      <w:sz w:val="18"/>
      <w:szCs w:val="18"/>
    </w:rPr>
  </w:style>
  <w:style w:type="character" w:customStyle="1" w:styleId="BalloonTextChar4">
    <w:name w:val="Balloon Text Char"/>
    <w:basedOn w:val="DefaultParagraphFont"/>
    <w:uiPriority w:val="99"/>
    <w:semiHidden/>
    <w:rsid w:val="00D66A19"/>
    <w:rPr>
      <w:rFonts w:ascii="Lucida Grande" w:hAnsi="Lucida Grande"/>
      <w:sz w:val="18"/>
      <w:szCs w:val="18"/>
    </w:rPr>
  </w:style>
  <w:style w:type="character" w:customStyle="1" w:styleId="Heading1Char">
    <w:name w:val="Heading 1 Char"/>
    <w:basedOn w:val="DefaultParagraphFont"/>
    <w:link w:val="Heading1"/>
    <w:uiPriority w:val="9"/>
    <w:rsid w:val="00DB1571"/>
    <w:rPr>
      <w:rFonts w:asciiTheme="majorHAnsi" w:eastAsiaTheme="majorEastAsia" w:hAnsiTheme="majorHAnsi" w:cstheme="majorBidi"/>
      <w:b/>
      <w:bCs/>
      <w:color w:val="345A8A" w:themeColor="accent1" w:themeShade="B5"/>
      <w:sz w:val="32"/>
      <w:szCs w:val="32"/>
      <w:lang w:eastAsia="en-US"/>
    </w:rPr>
  </w:style>
  <w:style w:type="character" w:customStyle="1" w:styleId="Heading2Char">
    <w:name w:val="Heading 2 Char"/>
    <w:basedOn w:val="DefaultParagraphFont"/>
    <w:link w:val="Heading2"/>
    <w:uiPriority w:val="9"/>
    <w:rsid w:val="00DB1571"/>
    <w:rPr>
      <w:rFonts w:asciiTheme="majorHAnsi" w:eastAsiaTheme="majorEastAsia" w:hAnsiTheme="majorHAnsi" w:cstheme="majorBidi"/>
      <w:b/>
      <w:bCs/>
      <w:color w:val="4F81BD" w:themeColor="accent1"/>
      <w:sz w:val="26"/>
      <w:szCs w:val="26"/>
      <w:lang w:eastAsia="en-US"/>
    </w:rPr>
  </w:style>
  <w:style w:type="paragraph" w:styleId="ListParagraph">
    <w:name w:val="List Paragraph"/>
    <w:basedOn w:val="Normal"/>
    <w:uiPriority w:val="34"/>
    <w:qFormat/>
    <w:rsid w:val="001C2ACB"/>
    <w:pPr>
      <w:ind w:left="720"/>
      <w:contextualSpacing/>
    </w:pPr>
  </w:style>
  <w:style w:type="paragraph" w:styleId="Header">
    <w:name w:val="header"/>
    <w:basedOn w:val="Normal"/>
    <w:link w:val="HeaderChar"/>
    <w:uiPriority w:val="99"/>
    <w:unhideWhenUsed/>
    <w:rsid w:val="006D0321"/>
    <w:pPr>
      <w:tabs>
        <w:tab w:val="center" w:pos="4320"/>
        <w:tab w:val="right" w:pos="8640"/>
      </w:tabs>
    </w:pPr>
  </w:style>
  <w:style w:type="character" w:customStyle="1" w:styleId="HeaderChar">
    <w:name w:val="Header Char"/>
    <w:basedOn w:val="DefaultParagraphFont"/>
    <w:link w:val="Header"/>
    <w:uiPriority w:val="99"/>
    <w:rsid w:val="006D0321"/>
    <w:rPr>
      <w:sz w:val="24"/>
      <w:szCs w:val="24"/>
      <w:lang w:eastAsia="en-US"/>
    </w:rPr>
  </w:style>
  <w:style w:type="paragraph" w:styleId="Footer">
    <w:name w:val="footer"/>
    <w:basedOn w:val="Normal"/>
    <w:link w:val="FooterChar"/>
    <w:uiPriority w:val="99"/>
    <w:unhideWhenUsed/>
    <w:rsid w:val="006D0321"/>
    <w:pPr>
      <w:tabs>
        <w:tab w:val="center" w:pos="4320"/>
        <w:tab w:val="right" w:pos="8640"/>
      </w:tabs>
    </w:pPr>
  </w:style>
  <w:style w:type="character" w:customStyle="1" w:styleId="FooterChar">
    <w:name w:val="Footer Char"/>
    <w:basedOn w:val="DefaultParagraphFont"/>
    <w:link w:val="Footer"/>
    <w:uiPriority w:val="99"/>
    <w:rsid w:val="006D0321"/>
    <w:rPr>
      <w:sz w:val="24"/>
      <w:szCs w:val="24"/>
      <w:lang w:eastAsia="en-US"/>
    </w:rPr>
  </w:style>
  <w:style w:type="character" w:styleId="PageNumber">
    <w:name w:val="page number"/>
    <w:basedOn w:val="DefaultParagraphFont"/>
    <w:uiPriority w:val="99"/>
    <w:semiHidden/>
    <w:unhideWhenUsed/>
    <w:rsid w:val="006D0321"/>
  </w:style>
  <w:style w:type="paragraph" w:styleId="NoSpacing">
    <w:name w:val="No Spacing"/>
    <w:link w:val="NoSpacingChar"/>
    <w:qFormat/>
    <w:rsid w:val="006D0321"/>
    <w:rPr>
      <w:rFonts w:ascii="PMingLiU" w:hAnsi="PMingLiU" w:cstheme="minorBidi"/>
      <w:sz w:val="22"/>
      <w:szCs w:val="22"/>
      <w:lang w:eastAsia="en-US"/>
    </w:rPr>
  </w:style>
  <w:style w:type="character" w:customStyle="1" w:styleId="NoSpacingChar">
    <w:name w:val="No Spacing Char"/>
    <w:basedOn w:val="DefaultParagraphFont"/>
    <w:link w:val="NoSpacing"/>
    <w:rsid w:val="006D0321"/>
    <w:rPr>
      <w:rFonts w:ascii="PMingLiU" w:hAnsi="PMingLiU" w:cstheme="minorBidi"/>
      <w:sz w:val="22"/>
      <w:szCs w:val="22"/>
      <w:lang w:eastAsia="en-US"/>
    </w:rPr>
  </w:style>
  <w:style w:type="character" w:styleId="Hyperlink">
    <w:name w:val="Hyperlink"/>
    <w:basedOn w:val="DefaultParagraphFont"/>
    <w:uiPriority w:val="99"/>
    <w:unhideWhenUsed/>
    <w:rsid w:val="00752812"/>
    <w:rPr>
      <w:color w:val="0000FF"/>
      <w:u w:val="single"/>
    </w:rPr>
  </w:style>
  <w:style w:type="paragraph" w:styleId="FootnoteText">
    <w:name w:val="footnote text"/>
    <w:basedOn w:val="Normal"/>
    <w:link w:val="FootnoteTextChar"/>
    <w:uiPriority w:val="99"/>
    <w:unhideWhenUsed/>
    <w:rsid w:val="00965950"/>
  </w:style>
  <w:style w:type="character" w:customStyle="1" w:styleId="FootnoteTextChar">
    <w:name w:val="Footnote Text Char"/>
    <w:basedOn w:val="DefaultParagraphFont"/>
    <w:link w:val="FootnoteText"/>
    <w:uiPriority w:val="99"/>
    <w:rsid w:val="00965950"/>
    <w:rPr>
      <w:sz w:val="24"/>
      <w:szCs w:val="24"/>
      <w:lang w:eastAsia="en-US"/>
    </w:rPr>
  </w:style>
  <w:style w:type="character" w:styleId="FootnoteReference">
    <w:name w:val="footnote reference"/>
    <w:basedOn w:val="DefaultParagraphFont"/>
    <w:uiPriority w:val="99"/>
    <w:unhideWhenUsed/>
    <w:rsid w:val="00965950"/>
    <w:rPr>
      <w:vertAlign w:val="superscript"/>
    </w:rPr>
  </w:style>
  <w:style w:type="character" w:customStyle="1" w:styleId="BalloonTextChar1">
    <w:name w:val="Balloon Text Char1"/>
    <w:basedOn w:val="DefaultParagraphFont"/>
    <w:link w:val="BalloonText"/>
    <w:uiPriority w:val="99"/>
    <w:semiHidden/>
    <w:rsid w:val="00965950"/>
    <w:rPr>
      <w:rFonts w:ascii="Lucida Grande" w:hAnsi="Lucida Grande" w:cs="Lucida Grande"/>
      <w:sz w:val="18"/>
      <w:szCs w:val="18"/>
      <w:lang w:eastAsia="en-US"/>
    </w:rPr>
  </w:style>
  <w:style w:type="character" w:styleId="Strong">
    <w:name w:val="Strong"/>
    <w:basedOn w:val="DefaultParagraphFont"/>
    <w:uiPriority w:val="22"/>
    <w:qFormat/>
    <w:rsid w:val="008D3B28"/>
    <w:rPr>
      <w:b/>
      <w:bCs/>
    </w:rPr>
  </w:style>
  <w:style w:type="paragraph" w:styleId="Bibliography">
    <w:name w:val="Bibliography"/>
    <w:basedOn w:val="Normal"/>
    <w:next w:val="Normal"/>
    <w:uiPriority w:val="37"/>
    <w:unhideWhenUsed/>
    <w:rsid w:val="001F2ABE"/>
  </w:style>
  <w:style w:type="character" w:styleId="CommentReference">
    <w:name w:val="annotation reference"/>
    <w:basedOn w:val="DefaultParagraphFont"/>
    <w:uiPriority w:val="99"/>
    <w:semiHidden/>
    <w:unhideWhenUsed/>
    <w:rsid w:val="001E5C5F"/>
    <w:rPr>
      <w:sz w:val="18"/>
      <w:szCs w:val="18"/>
    </w:rPr>
  </w:style>
  <w:style w:type="paragraph" w:styleId="CommentText">
    <w:name w:val="annotation text"/>
    <w:basedOn w:val="Normal"/>
    <w:link w:val="CommentTextChar"/>
    <w:uiPriority w:val="99"/>
    <w:semiHidden/>
    <w:unhideWhenUsed/>
    <w:rsid w:val="001E5C5F"/>
  </w:style>
  <w:style w:type="character" w:customStyle="1" w:styleId="CommentTextChar">
    <w:name w:val="Comment Text Char"/>
    <w:basedOn w:val="DefaultParagraphFont"/>
    <w:link w:val="CommentText"/>
    <w:uiPriority w:val="99"/>
    <w:semiHidden/>
    <w:rsid w:val="001E5C5F"/>
    <w:rPr>
      <w:sz w:val="24"/>
      <w:szCs w:val="24"/>
      <w:lang w:eastAsia="en-US"/>
    </w:rPr>
  </w:style>
  <w:style w:type="paragraph" w:styleId="CommentSubject">
    <w:name w:val="annotation subject"/>
    <w:basedOn w:val="CommentText"/>
    <w:next w:val="CommentText"/>
    <w:link w:val="CommentSubjectChar"/>
    <w:uiPriority w:val="99"/>
    <w:semiHidden/>
    <w:unhideWhenUsed/>
    <w:rsid w:val="001E5C5F"/>
    <w:rPr>
      <w:b/>
      <w:bCs/>
      <w:sz w:val="20"/>
      <w:szCs w:val="20"/>
    </w:rPr>
  </w:style>
  <w:style w:type="character" w:customStyle="1" w:styleId="CommentSubjectChar">
    <w:name w:val="Comment Subject Char"/>
    <w:basedOn w:val="CommentTextChar"/>
    <w:link w:val="CommentSubject"/>
    <w:uiPriority w:val="99"/>
    <w:semiHidden/>
    <w:rsid w:val="001E5C5F"/>
    <w:rPr>
      <w:b/>
      <w:bCs/>
      <w:sz w:val="24"/>
      <w:szCs w:val="24"/>
      <w:lang w:eastAsia="en-US"/>
    </w:rPr>
  </w:style>
  <w:style w:type="paragraph" w:styleId="EndnoteText">
    <w:name w:val="endnote text"/>
    <w:basedOn w:val="Normal"/>
    <w:link w:val="EndnoteTextChar"/>
    <w:uiPriority w:val="99"/>
    <w:unhideWhenUsed/>
    <w:rsid w:val="00A903D3"/>
  </w:style>
  <w:style w:type="character" w:customStyle="1" w:styleId="EndnoteTextChar">
    <w:name w:val="Endnote Text Char"/>
    <w:basedOn w:val="DefaultParagraphFont"/>
    <w:link w:val="EndnoteText"/>
    <w:uiPriority w:val="99"/>
    <w:rsid w:val="00A903D3"/>
    <w:rPr>
      <w:sz w:val="24"/>
      <w:szCs w:val="24"/>
      <w:lang w:eastAsia="en-US"/>
    </w:rPr>
  </w:style>
  <w:style w:type="character" w:styleId="EndnoteReference">
    <w:name w:val="endnote reference"/>
    <w:basedOn w:val="DefaultParagraphFont"/>
    <w:uiPriority w:val="99"/>
    <w:unhideWhenUsed/>
    <w:rsid w:val="00A903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026975">
      <w:bodyDiv w:val="1"/>
      <w:marLeft w:val="0"/>
      <w:marRight w:val="0"/>
      <w:marTop w:val="0"/>
      <w:marBottom w:val="0"/>
      <w:divBdr>
        <w:top w:val="none" w:sz="0" w:space="0" w:color="auto"/>
        <w:left w:val="none" w:sz="0" w:space="0" w:color="auto"/>
        <w:bottom w:val="none" w:sz="0" w:space="0" w:color="auto"/>
        <w:right w:val="none" w:sz="0" w:space="0" w:color="auto"/>
      </w:divBdr>
      <w:divsChild>
        <w:div w:id="1265460888">
          <w:marLeft w:val="0"/>
          <w:marRight w:val="0"/>
          <w:marTop w:val="0"/>
          <w:marBottom w:val="0"/>
          <w:divBdr>
            <w:top w:val="none" w:sz="0" w:space="0" w:color="auto"/>
            <w:left w:val="none" w:sz="0" w:space="0" w:color="auto"/>
            <w:bottom w:val="none" w:sz="0" w:space="0" w:color="auto"/>
            <w:right w:val="none" w:sz="0" w:space="0" w:color="auto"/>
          </w:divBdr>
          <w:divsChild>
            <w:div w:id="398284224">
              <w:marLeft w:val="0"/>
              <w:marRight w:val="0"/>
              <w:marTop w:val="0"/>
              <w:marBottom w:val="0"/>
              <w:divBdr>
                <w:top w:val="none" w:sz="0" w:space="0" w:color="auto"/>
                <w:left w:val="none" w:sz="0" w:space="0" w:color="auto"/>
                <w:bottom w:val="none" w:sz="0" w:space="0" w:color="auto"/>
                <w:right w:val="none" w:sz="0" w:space="0" w:color="auto"/>
              </w:divBdr>
            </w:div>
          </w:divsChild>
        </w:div>
        <w:div w:id="1040086425">
          <w:marLeft w:val="0"/>
          <w:marRight w:val="0"/>
          <w:marTop w:val="0"/>
          <w:marBottom w:val="0"/>
          <w:divBdr>
            <w:top w:val="none" w:sz="0" w:space="0" w:color="auto"/>
            <w:left w:val="none" w:sz="0" w:space="0" w:color="auto"/>
            <w:bottom w:val="none" w:sz="0" w:space="0" w:color="auto"/>
            <w:right w:val="none" w:sz="0" w:space="0" w:color="auto"/>
          </w:divBdr>
          <w:divsChild>
            <w:div w:id="1908220882">
              <w:marLeft w:val="0"/>
              <w:marRight w:val="0"/>
              <w:marTop w:val="0"/>
              <w:marBottom w:val="0"/>
              <w:divBdr>
                <w:top w:val="none" w:sz="0" w:space="0" w:color="auto"/>
                <w:left w:val="none" w:sz="0" w:space="0" w:color="auto"/>
                <w:bottom w:val="none" w:sz="0" w:space="0" w:color="auto"/>
                <w:right w:val="none" w:sz="0" w:space="0" w:color="auto"/>
              </w:divBdr>
            </w:div>
            <w:div w:id="78973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1264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1120</Words>
  <Characters>6387</Characters>
  <Application>Microsoft Macintosh Word</Application>
  <DocSecurity>0</DocSecurity>
  <Lines>53</Lines>
  <Paragraphs>14</Paragraphs>
  <ScaleCrop>false</ScaleCrop>
  <Company>HP</Company>
  <LinksUpToDate>false</LinksUpToDate>
  <CharactersWithSpaces>7493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Tegan Chislett</dc:title>
  <dc:creator>Tegan Chislett</dc:creator>
  <cp:lastModifiedBy>Avalon Jennings</cp:lastModifiedBy>
  <cp:revision>2</cp:revision>
  <dcterms:created xsi:type="dcterms:W3CDTF">2012-08-27T14:30:00Z</dcterms:created>
  <dcterms:modified xsi:type="dcterms:W3CDTF">2012-08-27T14:30:00Z</dcterms:modified>
</cp:coreProperties>
</file>